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9092" w14:textId="77777777" w:rsidR="00694F4C" w:rsidRPr="00AA54DA" w:rsidRDefault="00694F4C" w:rsidP="00D603E0">
      <w:pPr>
        <w:pStyle w:val="NormalWeb"/>
        <w:jc w:val="center"/>
        <w:rPr>
          <w:rFonts w:ascii="Arial" w:hAnsi="Arial" w:cs="Arial"/>
          <w:b/>
          <w:bCs/>
          <w:i/>
          <w:iCs/>
          <w:sz w:val="44"/>
          <w:szCs w:val="44"/>
          <w:lang w:val="nb-NO"/>
        </w:rPr>
      </w:pPr>
      <w:r w:rsidRPr="00AA54DA">
        <w:rPr>
          <w:rFonts w:ascii="Arial" w:hAnsi="Arial" w:cs="Arial"/>
          <w:b/>
          <w:bCs/>
          <w:i/>
          <w:iCs/>
          <w:sz w:val="44"/>
          <w:szCs w:val="44"/>
          <w:lang w:val="nb-NO"/>
        </w:rPr>
        <w:t>Haugesund idrettslag- orientering</w:t>
      </w:r>
    </w:p>
    <w:p w14:paraId="715C112B" w14:textId="58BA215D" w:rsidR="00694F4C" w:rsidRPr="00AA54DA" w:rsidRDefault="00D603E0" w:rsidP="00D603E0">
      <w:pPr>
        <w:pStyle w:val="NormalWeb"/>
        <w:jc w:val="center"/>
        <w:rPr>
          <w:sz w:val="36"/>
          <w:szCs w:val="36"/>
          <w:lang w:val="nb-NO"/>
        </w:rPr>
      </w:pPr>
      <w:r>
        <w:rPr>
          <w:rFonts w:cs="Arial"/>
          <w:noProof/>
          <w:color w:val="E36C0A" w:themeColor="accent6" w:themeShade="BF"/>
          <w:sz w:val="28"/>
          <w:szCs w:val="28"/>
          <w:lang w:val="nb-NO" w:eastAsia="nb-NO"/>
        </w:rPr>
        <w:drawing>
          <wp:inline distT="0" distB="0" distL="0" distR="0" wp14:anchorId="13AE221E" wp14:editId="1A5F8DE0">
            <wp:extent cx="1296920" cy="106796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817" cy="1067878"/>
                    </a:xfrm>
                    <a:prstGeom prst="rect">
                      <a:avLst/>
                    </a:prstGeom>
                  </pic:spPr>
                </pic:pic>
              </a:graphicData>
            </a:graphic>
          </wp:inline>
        </w:drawing>
      </w:r>
    </w:p>
    <w:p w14:paraId="1AFE3241" w14:textId="77777777" w:rsidR="00D603E0" w:rsidRDefault="00D603E0" w:rsidP="00694F4C">
      <w:pPr>
        <w:pStyle w:val="NormalWeb"/>
        <w:rPr>
          <w:rFonts w:ascii="Calibri" w:hAnsi="Calibri"/>
          <w:sz w:val="28"/>
          <w:szCs w:val="28"/>
          <w:lang w:val="nb-NO"/>
        </w:rPr>
      </w:pPr>
    </w:p>
    <w:p w14:paraId="24DAA535" w14:textId="64AED06E" w:rsidR="00D603E0" w:rsidRDefault="00C33FFA" w:rsidP="00C33FFA">
      <w:pPr>
        <w:pStyle w:val="NormalWeb"/>
        <w:jc w:val="center"/>
        <w:rPr>
          <w:rFonts w:ascii="Calibri" w:hAnsi="Calibri"/>
          <w:sz w:val="28"/>
          <w:szCs w:val="28"/>
          <w:lang w:val="nb-NO"/>
        </w:rPr>
      </w:pPr>
      <w:r>
        <w:rPr>
          <w:rFonts w:ascii="Calibri" w:hAnsi="Calibri"/>
          <w:sz w:val="28"/>
          <w:szCs w:val="28"/>
          <w:lang w:val="nb-NO"/>
        </w:rPr>
        <w:t>Varslingsrutine</w:t>
      </w:r>
    </w:p>
    <w:p w14:paraId="7300A191" w14:textId="77777777" w:rsidR="00D603E0" w:rsidRDefault="00D603E0" w:rsidP="00694F4C">
      <w:pPr>
        <w:pStyle w:val="NormalWeb"/>
        <w:rPr>
          <w:rFonts w:ascii="Calibri" w:hAnsi="Calibri"/>
          <w:sz w:val="28"/>
          <w:szCs w:val="28"/>
          <w:lang w:val="nb-NO"/>
        </w:rPr>
      </w:pPr>
    </w:p>
    <w:p w14:paraId="7A43242B" w14:textId="77777777" w:rsidR="00D603E0" w:rsidRDefault="00D603E0" w:rsidP="00694F4C">
      <w:pPr>
        <w:pStyle w:val="NormalWeb"/>
        <w:rPr>
          <w:rFonts w:ascii="Calibri" w:hAnsi="Calibri"/>
          <w:sz w:val="28"/>
          <w:szCs w:val="28"/>
          <w:lang w:val="nb-NO"/>
        </w:rPr>
      </w:pPr>
    </w:p>
    <w:p w14:paraId="740BA08B" w14:textId="77777777" w:rsidR="00694F4C" w:rsidRPr="00AA54DA" w:rsidRDefault="0074243B" w:rsidP="00694F4C">
      <w:pPr>
        <w:pStyle w:val="NormalWeb"/>
        <w:rPr>
          <w:lang w:val="nb-NO"/>
        </w:rPr>
      </w:pPr>
      <w:r w:rsidRPr="00AA54DA">
        <w:rPr>
          <w:rFonts w:ascii="Calibri" w:hAnsi="Calibri"/>
          <w:sz w:val="28"/>
          <w:szCs w:val="28"/>
          <w:lang w:val="nb-NO"/>
        </w:rPr>
        <w:t xml:space="preserve">Innhold </w:t>
      </w:r>
    </w:p>
    <w:p w14:paraId="7D1AF37F" w14:textId="77777777" w:rsidR="00694F4C" w:rsidRPr="00AA54DA" w:rsidRDefault="00694F4C" w:rsidP="0074243B"/>
    <w:p w14:paraId="0E4770EF" w14:textId="77777777" w:rsidR="0087332C" w:rsidRDefault="0074243B">
      <w:pPr>
        <w:pStyle w:val="INNH2"/>
        <w:rPr>
          <w:noProof/>
          <w:lang w:val="en-US" w:eastAsia="ja-JP"/>
        </w:rPr>
      </w:pPr>
      <w:r w:rsidRPr="00AA54DA">
        <w:rPr>
          <w:rFonts w:ascii="Arial" w:hAnsi="Arial" w:cs="Arial"/>
          <w:b/>
          <w:bCs/>
          <w:i/>
          <w:iCs/>
        </w:rPr>
        <w:fldChar w:fldCharType="begin"/>
      </w:r>
      <w:r w:rsidRPr="00AA54DA">
        <w:rPr>
          <w:rFonts w:ascii="Arial" w:hAnsi="Arial" w:cs="Arial"/>
          <w:b/>
          <w:bCs/>
          <w:i/>
          <w:iCs/>
        </w:rPr>
        <w:instrText xml:space="preserve"> TOC \o "1-3" </w:instrText>
      </w:r>
      <w:r w:rsidRPr="00AA54DA">
        <w:rPr>
          <w:rFonts w:ascii="Arial" w:hAnsi="Arial" w:cs="Arial"/>
          <w:b/>
          <w:bCs/>
          <w:i/>
          <w:iCs/>
        </w:rPr>
        <w:fldChar w:fldCharType="separate"/>
      </w:r>
      <w:r w:rsidR="0087332C" w:rsidRPr="0096429A">
        <w:rPr>
          <w:rFonts w:ascii="Calibri" w:hAnsi="Calibri" w:cs="Times New Roman"/>
          <w:noProof/>
        </w:rPr>
        <w:t>1.</w:t>
      </w:r>
      <w:r w:rsidR="0087332C">
        <w:rPr>
          <w:noProof/>
          <w:lang w:val="en-US" w:eastAsia="ja-JP"/>
        </w:rPr>
        <w:tab/>
      </w:r>
      <w:r w:rsidR="0087332C" w:rsidRPr="0096429A">
        <w:rPr>
          <w:noProof/>
        </w:rPr>
        <w:t>Formålet med rutinen</w:t>
      </w:r>
      <w:r w:rsidR="0087332C">
        <w:rPr>
          <w:noProof/>
        </w:rPr>
        <w:tab/>
      </w:r>
      <w:r w:rsidR="0087332C">
        <w:rPr>
          <w:noProof/>
        </w:rPr>
        <w:fldChar w:fldCharType="begin"/>
      </w:r>
      <w:r w:rsidR="0087332C">
        <w:rPr>
          <w:noProof/>
        </w:rPr>
        <w:instrText xml:space="preserve"> PAGEREF _Toc411545135 \h </w:instrText>
      </w:r>
      <w:r w:rsidR="0087332C">
        <w:rPr>
          <w:noProof/>
        </w:rPr>
      </w:r>
      <w:r w:rsidR="0087332C">
        <w:rPr>
          <w:noProof/>
        </w:rPr>
        <w:fldChar w:fldCharType="separate"/>
      </w:r>
      <w:r w:rsidR="0087332C">
        <w:rPr>
          <w:noProof/>
        </w:rPr>
        <w:t>2</w:t>
      </w:r>
      <w:r w:rsidR="0087332C">
        <w:rPr>
          <w:noProof/>
        </w:rPr>
        <w:fldChar w:fldCharType="end"/>
      </w:r>
    </w:p>
    <w:p w14:paraId="65C430A0" w14:textId="77777777" w:rsidR="0087332C" w:rsidRDefault="0087332C">
      <w:pPr>
        <w:pStyle w:val="INNH2"/>
        <w:rPr>
          <w:noProof/>
          <w:lang w:val="en-US" w:eastAsia="ja-JP"/>
        </w:rPr>
      </w:pPr>
      <w:r w:rsidRPr="0096429A">
        <w:rPr>
          <w:rFonts w:ascii="Calibri" w:hAnsi="Calibri" w:cs="Times New Roman"/>
          <w:noProof/>
        </w:rPr>
        <w:t>2.</w:t>
      </w:r>
      <w:r>
        <w:rPr>
          <w:noProof/>
          <w:lang w:val="en-US" w:eastAsia="ja-JP"/>
        </w:rPr>
        <w:tab/>
      </w:r>
      <w:r w:rsidRPr="0096429A">
        <w:rPr>
          <w:noProof/>
        </w:rPr>
        <w:t>Rettslig utgangpunkt</w:t>
      </w:r>
      <w:r>
        <w:rPr>
          <w:noProof/>
        </w:rPr>
        <w:tab/>
      </w:r>
      <w:r>
        <w:rPr>
          <w:noProof/>
        </w:rPr>
        <w:fldChar w:fldCharType="begin"/>
      </w:r>
      <w:r>
        <w:rPr>
          <w:noProof/>
        </w:rPr>
        <w:instrText xml:space="preserve"> PAGEREF _Toc411545136 \h </w:instrText>
      </w:r>
      <w:r>
        <w:rPr>
          <w:noProof/>
        </w:rPr>
      </w:r>
      <w:r>
        <w:rPr>
          <w:noProof/>
        </w:rPr>
        <w:fldChar w:fldCharType="separate"/>
      </w:r>
      <w:r>
        <w:rPr>
          <w:noProof/>
        </w:rPr>
        <w:t>2</w:t>
      </w:r>
      <w:r>
        <w:rPr>
          <w:noProof/>
        </w:rPr>
        <w:fldChar w:fldCharType="end"/>
      </w:r>
    </w:p>
    <w:p w14:paraId="328A65FC" w14:textId="77777777" w:rsidR="0087332C" w:rsidRDefault="0087332C">
      <w:pPr>
        <w:pStyle w:val="INNH2"/>
        <w:rPr>
          <w:noProof/>
          <w:lang w:val="en-US" w:eastAsia="ja-JP"/>
        </w:rPr>
      </w:pPr>
      <w:r w:rsidRPr="0096429A">
        <w:rPr>
          <w:rFonts w:ascii="Calibri" w:hAnsi="Calibri" w:cs="Times New Roman"/>
          <w:noProof/>
        </w:rPr>
        <w:t>3.</w:t>
      </w:r>
      <w:r>
        <w:rPr>
          <w:noProof/>
          <w:lang w:val="en-US" w:eastAsia="ja-JP"/>
        </w:rPr>
        <w:tab/>
      </w:r>
      <w:r w:rsidRPr="0096429A">
        <w:rPr>
          <w:noProof/>
        </w:rPr>
        <w:t>Hvem omfatter denne rutinen?</w:t>
      </w:r>
      <w:r>
        <w:rPr>
          <w:noProof/>
        </w:rPr>
        <w:tab/>
      </w:r>
      <w:r>
        <w:rPr>
          <w:noProof/>
        </w:rPr>
        <w:fldChar w:fldCharType="begin"/>
      </w:r>
      <w:r>
        <w:rPr>
          <w:noProof/>
        </w:rPr>
        <w:instrText xml:space="preserve"> PAGEREF _Toc411545137 \h </w:instrText>
      </w:r>
      <w:r>
        <w:rPr>
          <w:noProof/>
        </w:rPr>
      </w:r>
      <w:r>
        <w:rPr>
          <w:noProof/>
        </w:rPr>
        <w:fldChar w:fldCharType="separate"/>
      </w:r>
      <w:r>
        <w:rPr>
          <w:noProof/>
        </w:rPr>
        <w:t>3</w:t>
      </w:r>
      <w:r>
        <w:rPr>
          <w:noProof/>
        </w:rPr>
        <w:fldChar w:fldCharType="end"/>
      </w:r>
    </w:p>
    <w:p w14:paraId="027731B1" w14:textId="77777777" w:rsidR="0087332C" w:rsidRDefault="0087332C">
      <w:pPr>
        <w:pStyle w:val="INNH2"/>
        <w:rPr>
          <w:noProof/>
          <w:lang w:val="en-US" w:eastAsia="ja-JP"/>
        </w:rPr>
      </w:pPr>
      <w:r w:rsidRPr="0096429A">
        <w:rPr>
          <w:rFonts w:ascii="Calibri" w:hAnsi="Calibri" w:cs="Times New Roman"/>
          <w:noProof/>
        </w:rPr>
        <w:t>4.</w:t>
      </w:r>
      <w:r>
        <w:rPr>
          <w:noProof/>
          <w:lang w:val="en-US" w:eastAsia="ja-JP"/>
        </w:rPr>
        <w:tab/>
      </w:r>
      <w:r w:rsidRPr="0096429A">
        <w:rPr>
          <w:noProof/>
        </w:rPr>
        <w:t>Hva kan du varsle om?</w:t>
      </w:r>
      <w:r>
        <w:rPr>
          <w:noProof/>
        </w:rPr>
        <w:tab/>
      </w:r>
      <w:r>
        <w:rPr>
          <w:noProof/>
        </w:rPr>
        <w:fldChar w:fldCharType="begin"/>
      </w:r>
      <w:r>
        <w:rPr>
          <w:noProof/>
        </w:rPr>
        <w:instrText xml:space="preserve"> PAGEREF _Toc411545138 \h </w:instrText>
      </w:r>
      <w:r>
        <w:rPr>
          <w:noProof/>
        </w:rPr>
      </w:r>
      <w:r>
        <w:rPr>
          <w:noProof/>
        </w:rPr>
        <w:fldChar w:fldCharType="separate"/>
      </w:r>
      <w:r>
        <w:rPr>
          <w:noProof/>
        </w:rPr>
        <w:t>3</w:t>
      </w:r>
      <w:r>
        <w:rPr>
          <w:noProof/>
        </w:rPr>
        <w:fldChar w:fldCharType="end"/>
      </w:r>
    </w:p>
    <w:p w14:paraId="31BA0F2B" w14:textId="77777777" w:rsidR="0087332C" w:rsidRDefault="0087332C">
      <w:pPr>
        <w:pStyle w:val="INNH2"/>
        <w:rPr>
          <w:noProof/>
          <w:lang w:val="en-US" w:eastAsia="ja-JP"/>
        </w:rPr>
      </w:pPr>
      <w:r w:rsidRPr="0096429A">
        <w:rPr>
          <w:rFonts w:ascii="Calibri" w:hAnsi="Calibri" w:cs="Times New Roman"/>
          <w:noProof/>
        </w:rPr>
        <w:t>5.</w:t>
      </w:r>
      <w:r>
        <w:rPr>
          <w:noProof/>
          <w:lang w:val="en-US" w:eastAsia="ja-JP"/>
        </w:rPr>
        <w:tab/>
      </w:r>
      <w:r w:rsidRPr="0096429A">
        <w:rPr>
          <w:noProof/>
        </w:rPr>
        <w:t>Hvem skal det varsles til?</w:t>
      </w:r>
      <w:r>
        <w:rPr>
          <w:noProof/>
        </w:rPr>
        <w:tab/>
      </w:r>
      <w:r>
        <w:rPr>
          <w:noProof/>
        </w:rPr>
        <w:fldChar w:fldCharType="begin"/>
      </w:r>
      <w:r>
        <w:rPr>
          <w:noProof/>
        </w:rPr>
        <w:instrText xml:space="preserve"> PAGEREF _Toc411545139 \h </w:instrText>
      </w:r>
      <w:r>
        <w:rPr>
          <w:noProof/>
        </w:rPr>
      </w:r>
      <w:r>
        <w:rPr>
          <w:noProof/>
        </w:rPr>
        <w:fldChar w:fldCharType="separate"/>
      </w:r>
      <w:r>
        <w:rPr>
          <w:noProof/>
        </w:rPr>
        <w:t>3</w:t>
      </w:r>
      <w:r>
        <w:rPr>
          <w:noProof/>
        </w:rPr>
        <w:fldChar w:fldCharType="end"/>
      </w:r>
    </w:p>
    <w:p w14:paraId="49E4C37B" w14:textId="77777777" w:rsidR="0087332C" w:rsidRDefault="0087332C">
      <w:pPr>
        <w:pStyle w:val="INNH2"/>
        <w:rPr>
          <w:noProof/>
          <w:lang w:val="en-US" w:eastAsia="ja-JP"/>
        </w:rPr>
      </w:pPr>
      <w:r w:rsidRPr="0096429A">
        <w:rPr>
          <w:rFonts w:ascii="Calibri" w:hAnsi="Calibri" w:cs="Times New Roman"/>
          <w:noProof/>
        </w:rPr>
        <w:t>6.</w:t>
      </w:r>
      <w:r>
        <w:rPr>
          <w:noProof/>
          <w:lang w:val="en-US" w:eastAsia="ja-JP"/>
        </w:rPr>
        <w:tab/>
      </w:r>
      <w:r w:rsidRPr="0096429A">
        <w:rPr>
          <w:noProof/>
        </w:rPr>
        <w:t>Hvordan skal det varsles?</w:t>
      </w:r>
      <w:r>
        <w:rPr>
          <w:noProof/>
        </w:rPr>
        <w:tab/>
      </w:r>
      <w:r>
        <w:rPr>
          <w:noProof/>
        </w:rPr>
        <w:fldChar w:fldCharType="begin"/>
      </w:r>
      <w:r>
        <w:rPr>
          <w:noProof/>
        </w:rPr>
        <w:instrText xml:space="preserve"> PAGEREF _Toc411545140 \h </w:instrText>
      </w:r>
      <w:r>
        <w:rPr>
          <w:noProof/>
        </w:rPr>
      </w:r>
      <w:r>
        <w:rPr>
          <w:noProof/>
        </w:rPr>
        <w:fldChar w:fldCharType="separate"/>
      </w:r>
      <w:r>
        <w:rPr>
          <w:noProof/>
        </w:rPr>
        <w:t>4</w:t>
      </w:r>
      <w:r>
        <w:rPr>
          <w:noProof/>
        </w:rPr>
        <w:fldChar w:fldCharType="end"/>
      </w:r>
    </w:p>
    <w:p w14:paraId="682C34E0" w14:textId="77777777" w:rsidR="0087332C" w:rsidRDefault="0087332C">
      <w:pPr>
        <w:pStyle w:val="INNH2"/>
        <w:rPr>
          <w:noProof/>
          <w:lang w:val="en-US" w:eastAsia="ja-JP"/>
        </w:rPr>
      </w:pPr>
      <w:r w:rsidRPr="0096429A">
        <w:rPr>
          <w:rFonts w:ascii="Calibri" w:hAnsi="Calibri" w:cs="Times New Roman"/>
          <w:noProof/>
        </w:rPr>
        <w:t>7.</w:t>
      </w:r>
      <w:r>
        <w:rPr>
          <w:noProof/>
          <w:lang w:val="en-US" w:eastAsia="ja-JP"/>
        </w:rPr>
        <w:tab/>
      </w:r>
      <w:r w:rsidRPr="0096429A">
        <w:rPr>
          <w:noProof/>
        </w:rPr>
        <w:t>Hvordan håndteres varsler i Haugesund idrettslag?</w:t>
      </w:r>
      <w:r>
        <w:rPr>
          <w:noProof/>
        </w:rPr>
        <w:tab/>
      </w:r>
      <w:r>
        <w:rPr>
          <w:noProof/>
        </w:rPr>
        <w:fldChar w:fldCharType="begin"/>
      </w:r>
      <w:r>
        <w:rPr>
          <w:noProof/>
        </w:rPr>
        <w:instrText xml:space="preserve"> PAGEREF _Toc411545141 \h </w:instrText>
      </w:r>
      <w:r>
        <w:rPr>
          <w:noProof/>
        </w:rPr>
      </w:r>
      <w:r>
        <w:rPr>
          <w:noProof/>
        </w:rPr>
        <w:fldChar w:fldCharType="separate"/>
      </w:r>
      <w:r>
        <w:rPr>
          <w:noProof/>
        </w:rPr>
        <w:t>4</w:t>
      </w:r>
      <w:r>
        <w:rPr>
          <w:noProof/>
        </w:rPr>
        <w:fldChar w:fldCharType="end"/>
      </w:r>
    </w:p>
    <w:p w14:paraId="02F5647F" w14:textId="77777777" w:rsidR="0087332C" w:rsidRDefault="0087332C">
      <w:pPr>
        <w:pStyle w:val="INNH2"/>
        <w:rPr>
          <w:noProof/>
          <w:lang w:val="en-US" w:eastAsia="ja-JP"/>
        </w:rPr>
      </w:pPr>
      <w:r w:rsidRPr="0096429A">
        <w:rPr>
          <w:rFonts w:ascii="Calibri" w:hAnsi="Calibri" w:cs="Times New Roman"/>
          <w:noProof/>
        </w:rPr>
        <w:t>8.</w:t>
      </w:r>
      <w:r>
        <w:rPr>
          <w:noProof/>
          <w:lang w:val="en-US" w:eastAsia="ja-JP"/>
        </w:rPr>
        <w:tab/>
      </w:r>
      <w:r w:rsidRPr="0096429A">
        <w:rPr>
          <w:noProof/>
        </w:rPr>
        <w:t>Ekstern varsling til offentlige myndigheter</w:t>
      </w:r>
      <w:r>
        <w:rPr>
          <w:noProof/>
        </w:rPr>
        <w:tab/>
      </w:r>
      <w:r>
        <w:rPr>
          <w:noProof/>
        </w:rPr>
        <w:fldChar w:fldCharType="begin"/>
      </w:r>
      <w:r>
        <w:rPr>
          <w:noProof/>
        </w:rPr>
        <w:instrText xml:space="preserve"> PAGEREF _Toc411545142 \h </w:instrText>
      </w:r>
      <w:r>
        <w:rPr>
          <w:noProof/>
        </w:rPr>
      </w:r>
      <w:r>
        <w:rPr>
          <w:noProof/>
        </w:rPr>
        <w:fldChar w:fldCharType="separate"/>
      </w:r>
      <w:r>
        <w:rPr>
          <w:noProof/>
        </w:rPr>
        <w:t>5</w:t>
      </w:r>
      <w:r>
        <w:rPr>
          <w:noProof/>
        </w:rPr>
        <w:fldChar w:fldCharType="end"/>
      </w:r>
    </w:p>
    <w:p w14:paraId="1B1D1DED" w14:textId="77777777" w:rsidR="0087332C" w:rsidRDefault="0087332C">
      <w:pPr>
        <w:pStyle w:val="INNH2"/>
        <w:rPr>
          <w:noProof/>
          <w:lang w:val="en-US" w:eastAsia="ja-JP"/>
        </w:rPr>
      </w:pPr>
      <w:r w:rsidRPr="0096429A">
        <w:rPr>
          <w:rFonts w:ascii="Calibri" w:hAnsi="Calibri" w:cs="Times New Roman"/>
          <w:noProof/>
        </w:rPr>
        <w:t>9.</w:t>
      </w:r>
      <w:r>
        <w:rPr>
          <w:noProof/>
          <w:lang w:val="en-US" w:eastAsia="ja-JP"/>
        </w:rPr>
        <w:tab/>
      </w:r>
      <w:r w:rsidRPr="0096429A">
        <w:rPr>
          <w:noProof/>
        </w:rPr>
        <w:t>Mer informasjon</w:t>
      </w:r>
      <w:r>
        <w:rPr>
          <w:noProof/>
        </w:rPr>
        <w:tab/>
      </w:r>
      <w:r>
        <w:rPr>
          <w:noProof/>
        </w:rPr>
        <w:fldChar w:fldCharType="begin"/>
      </w:r>
      <w:r>
        <w:rPr>
          <w:noProof/>
        </w:rPr>
        <w:instrText xml:space="preserve"> PAGEREF _Toc411545143 \h </w:instrText>
      </w:r>
      <w:r>
        <w:rPr>
          <w:noProof/>
        </w:rPr>
      </w:r>
      <w:r>
        <w:rPr>
          <w:noProof/>
        </w:rPr>
        <w:fldChar w:fldCharType="separate"/>
      </w:r>
      <w:r>
        <w:rPr>
          <w:noProof/>
        </w:rPr>
        <w:t>5</w:t>
      </w:r>
      <w:r>
        <w:rPr>
          <w:noProof/>
        </w:rPr>
        <w:fldChar w:fldCharType="end"/>
      </w:r>
    </w:p>
    <w:p w14:paraId="6C53C400" w14:textId="77777777" w:rsidR="00381FBD" w:rsidRPr="00AA54DA" w:rsidRDefault="0074243B">
      <w:pPr>
        <w:rPr>
          <w:rFonts w:ascii="Arial" w:hAnsi="Arial" w:cs="Arial"/>
          <w:b/>
          <w:bCs/>
          <w:i/>
          <w:iCs/>
        </w:rPr>
      </w:pPr>
      <w:r w:rsidRPr="00AA54DA">
        <w:rPr>
          <w:rFonts w:ascii="Arial" w:hAnsi="Arial" w:cs="Arial"/>
          <w:b/>
          <w:bCs/>
          <w:i/>
          <w:iCs/>
        </w:rPr>
        <w:fldChar w:fldCharType="end"/>
      </w:r>
    </w:p>
    <w:p w14:paraId="64931DB9" w14:textId="77777777" w:rsidR="00381FBD" w:rsidRPr="00AA54DA" w:rsidRDefault="00381FBD">
      <w:pPr>
        <w:rPr>
          <w:rFonts w:ascii="Arial" w:hAnsi="Arial" w:cs="Arial"/>
          <w:b/>
          <w:bCs/>
          <w:i/>
          <w:iCs/>
        </w:rPr>
      </w:pPr>
      <w:r w:rsidRPr="00AA54DA">
        <w:rPr>
          <w:rFonts w:ascii="Arial" w:hAnsi="Arial" w:cs="Arial"/>
          <w:b/>
          <w:bCs/>
          <w:i/>
          <w:iCs/>
        </w:rPr>
        <w:br w:type="page"/>
      </w:r>
    </w:p>
    <w:p w14:paraId="7AE8276F" w14:textId="77777777" w:rsidR="00694F4C" w:rsidRPr="00AA54DA" w:rsidRDefault="00694F4C">
      <w:pPr>
        <w:rPr>
          <w:rFonts w:ascii="Arial" w:hAnsi="Arial" w:cs="Arial"/>
          <w:bCs/>
          <w:iCs/>
        </w:rPr>
      </w:pPr>
    </w:p>
    <w:p w14:paraId="373DB660" w14:textId="71DC7C5A" w:rsidR="00694F4C" w:rsidRPr="00AA54DA" w:rsidRDefault="00694F4C" w:rsidP="00381FBD">
      <w:pPr>
        <w:pStyle w:val="Overskrift2"/>
        <w:numPr>
          <w:ilvl w:val="0"/>
          <w:numId w:val="9"/>
        </w:numPr>
        <w:rPr>
          <w:color w:val="auto"/>
        </w:rPr>
      </w:pPr>
      <w:bookmarkStart w:id="0" w:name="_Toc411545135"/>
      <w:r w:rsidRPr="00AA54DA">
        <w:rPr>
          <w:color w:val="auto"/>
        </w:rPr>
        <w:t xml:space="preserve">Formålet med </w:t>
      </w:r>
      <w:r w:rsidR="00C33FFA">
        <w:rPr>
          <w:color w:val="auto"/>
        </w:rPr>
        <w:t>rutinen</w:t>
      </w:r>
      <w:bookmarkEnd w:id="0"/>
    </w:p>
    <w:p w14:paraId="0340132A" w14:textId="72C524C5" w:rsidR="00C33FFA" w:rsidRPr="00AA54DA" w:rsidRDefault="00C33FFA" w:rsidP="00C33FFA">
      <w:pPr>
        <w:pStyle w:val="NormalWeb"/>
        <w:rPr>
          <w:rFonts w:ascii="Calibri" w:hAnsi="Calibri"/>
          <w:sz w:val="24"/>
          <w:szCs w:val="24"/>
          <w:lang w:val="nb-NO"/>
        </w:rPr>
      </w:pPr>
      <w:r w:rsidRPr="00AA54DA">
        <w:rPr>
          <w:rFonts w:ascii="Calibri" w:hAnsi="Calibri"/>
          <w:sz w:val="24"/>
          <w:szCs w:val="24"/>
          <w:lang w:val="nb-NO"/>
        </w:rPr>
        <w:t>Formålet med bestemmelsene er å fremme</w:t>
      </w:r>
      <w:r w:rsidR="008B62B7">
        <w:rPr>
          <w:rFonts w:ascii="Calibri" w:hAnsi="Calibri"/>
          <w:sz w:val="24"/>
          <w:szCs w:val="24"/>
          <w:lang w:val="nb-NO"/>
        </w:rPr>
        <w:t xml:space="preserve"> åpenhet, og bidra til et godt</w:t>
      </w:r>
      <w:r w:rsidRPr="00AA54DA">
        <w:rPr>
          <w:rFonts w:ascii="Calibri" w:hAnsi="Calibri"/>
          <w:sz w:val="24"/>
          <w:szCs w:val="24"/>
          <w:lang w:val="nb-NO"/>
        </w:rPr>
        <w:t xml:space="preserve"> ytringsklima i idrettslaget. Varsling er både lovlig og ønskelig. Forholdene må legges til rette for at alle berørte skal melde fra om kritikkverdige forhold, slik at disse opphører og eventuelt avdekkes for allmennheten </w:t>
      </w:r>
    </w:p>
    <w:p w14:paraId="35D88666" w14:textId="4D919285" w:rsidR="00694F4C" w:rsidRPr="00AA54DA" w:rsidRDefault="00406685" w:rsidP="00694F4C">
      <w:pPr>
        <w:pStyle w:val="NormalWeb"/>
        <w:rPr>
          <w:lang w:val="nb-NO"/>
        </w:rPr>
      </w:pPr>
      <w:r>
        <w:rPr>
          <w:rFonts w:ascii="Calibri" w:hAnsi="Calibri"/>
          <w:sz w:val="24"/>
          <w:szCs w:val="24"/>
          <w:lang w:val="nb-NO"/>
        </w:rPr>
        <w:t>Det er i HIL Orienterings</w:t>
      </w:r>
      <w:r w:rsidR="00694F4C" w:rsidRPr="00AA54DA">
        <w:rPr>
          <w:rFonts w:ascii="Calibri" w:hAnsi="Calibri"/>
          <w:sz w:val="24"/>
          <w:szCs w:val="24"/>
          <w:lang w:val="nb-NO"/>
        </w:rPr>
        <w:t xml:space="preserve"> interesse at det varsle</w:t>
      </w:r>
      <w:r w:rsidR="00C33FFA">
        <w:rPr>
          <w:rFonts w:ascii="Calibri" w:hAnsi="Calibri"/>
          <w:sz w:val="24"/>
          <w:szCs w:val="24"/>
          <w:lang w:val="nb-NO"/>
        </w:rPr>
        <w:t xml:space="preserve">s om kritikkverdige forhold, </w:t>
      </w:r>
      <w:r w:rsidR="00694F4C" w:rsidRPr="00AA54DA">
        <w:rPr>
          <w:rFonts w:ascii="Calibri" w:hAnsi="Calibri"/>
          <w:sz w:val="24"/>
          <w:szCs w:val="24"/>
          <w:lang w:val="nb-NO"/>
        </w:rPr>
        <w:t xml:space="preserve">da så tidlig som mulig, før saken sprer seg og blir vanskeligere å håndtere. Det skal være lav terskel for saklig kritikk og uenighet, og det er ønskelig med en kultur som håndterer innspill og innsigelser på en ryddig måte for å bidra til at ulovlige og uetiske forhold blir avdekket og tatt tak i. Effektive rutiner for varsling, som er kjent for ansatte og medlemmer, og som sikres etterlevd, er et viktig verktøy for å sikre en forsvarlig håndtering av slike saker. </w:t>
      </w:r>
    </w:p>
    <w:p w14:paraId="4EA8BC5D" w14:textId="77777777" w:rsidR="00694F4C" w:rsidRDefault="00694F4C" w:rsidP="00694F4C">
      <w:pPr>
        <w:pStyle w:val="NormalWeb"/>
        <w:rPr>
          <w:rFonts w:ascii="Calibri" w:hAnsi="Calibri"/>
          <w:sz w:val="24"/>
          <w:szCs w:val="24"/>
          <w:lang w:val="nb-NO"/>
        </w:rPr>
      </w:pPr>
      <w:r w:rsidRPr="00AA54DA">
        <w:rPr>
          <w:rFonts w:ascii="Calibri" w:hAnsi="Calibri"/>
          <w:sz w:val="24"/>
          <w:szCs w:val="24"/>
          <w:lang w:val="nb-NO"/>
        </w:rPr>
        <w:t xml:space="preserve">Varslingssaker kan være krevende for den som varsler om kritikkverdige forhold. De kan også være krevende for den/de det blir varslet om. For å sikre gode og konstruktive varslingsprosesser, er det nødvendig å skape trygghet og forutsigbarhet, herunder sikre at samtlige involverte er godt kjent med rettsregler og øvrige premisser som gjelder i forbindelse med varsling. </w:t>
      </w:r>
    </w:p>
    <w:p w14:paraId="556BF803" w14:textId="763132E2" w:rsidR="00C33FFA" w:rsidRPr="00AA54DA" w:rsidRDefault="00C33FFA" w:rsidP="00694F4C">
      <w:pPr>
        <w:pStyle w:val="NormalWeb"/>
        <w:rPr>
          <w:rFonts w:ascii="Calibri" w:hAnsi="Calibri"/>
          <w:sz w:val="24"/>
          <w:szCs w:val="24"/>
          <w:lang w:val="nb-NO"/>
        </w:rPr>
      </w:pPr>
      <w:r>
        <w:rPr>
          <w:rFonts w:ascii="Calibri" w:hAnsi="Calibri"/>
          <w:sz w:val="24"/>
          <w:szCs w:val="24"/>
          <w:lang w:val="nb-NO"/>
        </w:rPr>
        <w:t>Rutinen skal:</w:t>
      </w:r>
    </w:p>
    <w:p w14:paraId="480232CA" w14:textId="65F2A1FB" w:rsidR="00C33FFA" w:rsidRPr="00C33FFA" w:rsidRDefault="00C33FFA" w:rsidP="00C33FFA">
      <w:pPr>
        <w:pStyle w:val="NormalWeb"/>
        <w:numPr>
          <w:ilvl w:val="0"/>
          <w:numId w:val="5"/>
        </w:numPr>
        <w:rPr>
          <w:rFonts w:ascii="Calibri" w:hAnsi="Calibri"/>
          <w:sz w:val="24"/>
          <w:szCs w:val="24"/>
          <w:lang w:val="nb-NO"/>
        </w:rPr>
      </w:pPr>
      <w:r>
        <w:rPr>
          <w:rFonts w:ascii="Calibri" w:hAnsi="Calibri"/>
          <w:sz w:val="24"/>
          <w:szCs w:val="24"/>
          <w:lang w:val="nb-NO"/>
        </w:rPr>
        <w:t>K</w:t>
      </w:r>
      <w:r w:rsidRPr="00C33FFA">
        <w:rPr>
          <w:rFonts w:ascii="Calibri" w:hAnsi="Calibri"/>
          <w:sz w:val="24"/>
          <w:szCs w:val="24"/>
          <w:lang w:val="nb-NO"/>
        </w:rPr>
        <w:t xml:space="preserve">largjøre at det er ønskelig at berørte i HIL </w:t>
      </w:r>
      <w:r w:rsidR="00131817">
        <w:rPr>
          <w:rFonts w:ascii="Calibri" w:hAnsi="Calibri"/>
          <w:sz w:val="24"/>
          <w:szCs w:val="24"/>
          <w:lang w:val="nb-NO"/>
        </w:rPr>
        <w:t xml:space="preserve">Orientering </w:t>
      </w:r>
      <w:r w:rsidRPr="00C33FFA">
        <w:rPr>
          <w:rFonts w:ascii="Calibri" w:hAnsi="Calibri"/>
          <w:sz w:val="24"/>
          <w:szCs w:val="24"/>
          <w:lang w:val="nb-NO"/>
        </w:rPr>
        <w:t>varsler om kritikkverdige forhold i organisasjonen.</w:t>
      </w:r>
    </w:p>
    <w:p w14:paraId="17634507" w14:textId="77777777" w:rsidR="00C33FFA" w:rsidRPr="00C33FFA" w:rsidRDefault="00C33FFA" w:rsidP="00C33FFA">
      <w:pPr>
        <w:pStyle w:val="NormalWeb"/>
        <w:numPr>
          <w:ilvl w:val="0"/>
          <w:numId w:val="5"/>
        </w:numPr>
        <w:rPr>
          <w:rFonts w:ascii="Calibri" w:hAnsi="Calibri"/>
          <w:sz w:val="24"/>
          <w:szCs w:val="24"/>
          <w:lang w:val="nb-NO"/>
        </w:rPr>
      </w:pPr>
      <w:r w:rsidRPr="00C33FFA">
        <w:rPr>
          <w:rFonts w:ascii="Calibri" w:hAnsi="Calibri"/>
          <w:sz w:val="24"/>
          <w:szCs w:val="24"/>
          <w:lang w:val="nb-NO"/>
        </w:rPr>
        <w:t>Bidra til at styret sjekker ut og stopper kritikkverdige forhold.</w:t>
      </w:r>
    </w:p>
    <w:p w14:paraId="565BE89F" w14:textId="77777777" w:rsidR="00C33FFA" w:rsidRPr="00C33FFA" w:rsidRDefault="00C33FFA" w:rsidP="00C33FFA">
      <w:pPr>
        <w:pStyle w:val="NormalWeb"/>
        <w:numPr>
          <w:ilvl w:val="0"/>
          <w:numId w:val="5"/>
        </w:numPr>
        <w:rPr>
          <w:rFonts w:ascii="Calibri" w:hAnsi="Calibri"/>
          <w:sz w:val="24"/>
          <w:szCs w:val="24"/>
          <w:lang w:val="nb-NO"/>
        </w:rPr>
      </w:pPr>
      <w:r w:rsidRPr="00C33FFA">
        <w:rPr>
          <w:rFonts w:ascii="Calibri" w:hAnsi="Calibri"/>
          <w:sz w:val="24"/>
          <w:szCs w:val="24"/>
          <w:lang w:val="nb-NO"/>
        </w:rPr>
        <w:t>Sikre en forsvarlig saksbehandling ved håndtering av varsel.</w:t>
      </w:r>
    </w:p>
    <w:p w14:paraId="1EF7F5C1" w14:textId="77777777" w:rsidR="00C33FFA" w:rsidRPr="00C33FFA" w:rsidRDefault="00C33FFA" w:rsidP="00C33FFA">
      <w:pPr>
        <w:pStyle w:val="NormalWeb"/>
        <w:numPr>
          <w:ilvl w:val="0"/>
          <w:numId w:val="5"/>
        </w:numPr>
        <w:rPr>
          <w:rFonts w:ascii="Calibri" w:hAnsi="Calibri"/>
          <w:sz w:val="24"/>
          <w:szCs w:val="24"/>
          <w:lang w:val="nb-NO"/>
        </w:rPr>
      </w:pPr>
      <w:r w:rsidRPr="00C33FFA">
        <w:rPr>
          <w:rFonts w:ascii="Calibri" w:hAnsi="Calibri"/>
          <w:sz w:val="24"/>
          <w:szCs w:val="24"/>
          <w:lang w:val="nb-NO"/>
        </w:rPr>
        <w:t xml:space="preserve">Sikre rettighetene til den som varsler. </w:t>
      </w:r>
    </w:p>
    <w:p w14:paraId="299BA65C" w14:textId="77777777" w:rsidR="00C33FFA" w:rsidRPr="00C33FFA" w:rsidRDefault="00C33FFA" w:rsidP="00C33FFA">
      <w:pPr>
        <w:pStyle w:val="NormalWeb"/>
        <w:numPr>
          <w:ilvl w:val="0"/>
          <w:numId w:val="5"/>
        </w:numPr>
        <w:rPr>
          <w:rFonts w:ascii="Calibri" w:hAnsi="Calibri"/>
          <w:sz w:val="24"/>
          <w:szCs w:val="24"/>
          <w:lang w:val="nb-NO"/>
        </w:rPr>
      </w:pPr>
      <w:r w:rsidRPr="00C33FFA">
        <w:rPr>
          <w:rFonts w:ascii="Calibri" w:hAnsi="Calibri"/>
          <w:sz w:val="24"/>
          <w:szCs w:val="24"/>
          <w:lang w:val="nb-NO"/>
        </w:rPr>
        <w:t xml:space="preserve">Sikre rettighetene til den et varsel er rettet mot. </w:t>
      </w:r>
    </w:p>
    <w:p w14:paraId="5349E892" w14:textId="77777777" w:rsidR="00C33FFA" w:rsidRPr="00C33FFA" w:rsidRDefault="00C33FFA" w:rsidP="00C33FFA">
      <w:pPr>
        <w:pStyle w:val="NormalWeb"/>
        <w:numPr>
          <w:ilvl w:val="0"/>
          <w:numId w:val="5"/>
        </w:numPr>
        <w:rPr>
          <w:rFonts w:ascii="Calibri" w:hAnsi="Calibri"/>
          <w:sz w:val="24"/>
          <w:szCs w:val="24"/>
          <w:lang w:val="nb-NO"/>
        </w:rPr>
      </w:pPr>
      <w:r w:rsidRPr="00C33FFA">
        <w:rPr>
          <w:rFonts w:ascii="Calibri" w:hAnsi="Calibri"/>
          <w:sz w:val="24"/>
          <w:szCs w:val="24"/>
          <w:lang w:val="nb-NO"/>
        </w:rPr>
        <w:t xml:space="preserve">Sikre at den som varsler ikke blir utsatt for gjengjeldelse. </w:t>
      </w:r>
    </w:p>
    <w:p w14:paraId="3A4F164D" w14:textId="77777777" w:rsidR="00381FBD" w:rsidRPr="00AA54DA" w:rsidRDefault="00381FBD" w:rsidP="00694F4C">
      <w:pPr>
        <w:pStyle w:val="NormalWeb"/>
        <w:rPr>
          <w:lang w:val="nb-NO"/>
        </w:rPr>
      </w:pPr>
    </w:p>
    <w:p w14:paraId="07174BA3" w14:textId="77777777" w:rsidR="00694F4C" w:rsidRPr="00AA54DA" w:rsidRDefault="00694F4C" w:rsidP="00381FBD">
      <w:pPr>
        <w:pStyle w:val="Overskrift2"/>
        <w:numPr>
          <w:ilvl w:val="0"/>
          <w:numId w:val="9"/>
        </w:numPr>
        <w:rPr>
          <w:color w:val="auto"/>
        </w:rPr>
      </w:pPr>
      <w:bookmarkStart w:id="1" w:name="_Toc411545136"/>
      <w:r w:rsidRPr="00AA54DA">
        <w:rPr>
          <w:color w:val="auto"/>
        </w:rPr>
        <w:t>Rettslig utgangpunkt</w:t>
      </w:r>
      <w:bookmarkEnd w:id="1"/>
      <w:r w:rsidRPr="00AA54DA">
        <w:rPr>
          <w:color w:val="auto"/>
        </w:rPr>
        <w:t xml:space="preserve"> </w:t>
      </w:r>
    </w:p>
    <w:p w14:paraId="466FF015" w14:textId="4F5A37A2" w:rsidR="00131817" w:rsidRPr="00131817" w:rsidRDefault="00694F4C" w:rsidP="00131817">
      <w:pPr>
        <w:pStyle w:val="NormalWeb"/>
        <w:rPr>
          <w:rFonts w:ascii="Calibri" w:hAnsi="Calibri"/>
          <w:sz w:val="24"/>
          <w:szCs w:val="24"/>
          <w:lang w:val="nb-NO"/>
        </w:rPr>
      </w:pPr>
      <w:r w:rsidRPr="00AA54DA">
        <w:rPr>
          <w:rFonts w:ascii="Calibri" w:hAnsi="Calibri"/>
          <w:sz w:val="24"/>
          <w:szCs w:val="24"/>
          <w:lang w:val="nb-NO"/>
        </w:rPr>
        <w:t>Varslervernet er hjemlet i arbeidsmiljøloven og trå</w:t>
      </w:r>
      <w:r w:rsidR="00B06268" w:rsidRPr="00AA54DA">
        <w:rPr>
          <w:rFonts w:ascii="Calibri" w:hAnsi="Calibri"/>
          <w:sz w:val="24"/>
          <w:szCs w:val="24"/>
          <w:lang w:val="nb-NO"/>
        </w:rPr>
        <w:t xml:space="preserve">dte </w:t>
      </w:r>
      <w:r w:rsidRPr="00AA54DA">
        <w:rPr>
          <w:rFonts w:ascii="Calibri" w:hAnsi="Calibri"/>
          <w:sz w:val="24"/>
          <w:szCs w:val="24"/>
          <w:lang w:val="nb-NO"/>
        </w:rPr>
        <w:t xml:space="preserve">i kraft 1. januar 2007. Arbeidsmiljølovens regulering av varsling omfatter fire bestemmelser som er regulert i lovens kapittel 2A. Bestemmelsene skal bidra til å styrke den reelle ytringsfriheten i et ansettelsesforhold. Mens arbeidsmiljøloven § 2A-1 regulerer arbeidstakers og innleides varslingsrett, følger arbeidstakers og innleides rett til beskyttelse mot ulovlig gjengjeldelse av § 2A-2. Arbeidsgivers plikt til å legge til rette for intern varsling etter § 2A-3 kan forstås som en operasjonalisering av de to øvrige bestemmelsene. Rutiner og/eller andre tiltak som iverksettes i henhold til § 2A-3, skal sikre at både varslingsretten og varslervernet er effektivt og reelt. Lovens § 2A-4 regulerer offentlig myndigheters taushetsplikt ved mottakelse av en varsling. </w:t>
      </w:r>
      <w:r w:rsidRPr="00AA54DA">
        <w:rPr>
          <w:rFonts w:ascii="Calibri" w:hAnsi="Calibri"/>
          <w:sz w:val="24"/>
          <w:szCs w:val="24"/>
          <w:lang w:val="nb-NO"/>
        </w:rPr>
        <w:lastRenderedPageBreak/>
        <w:t>Arbeidsmiljølovens varslingsbestemmelser er vedlagt denne veilederen, og legges til grunn ved varsling i Haugesund idr</w:t>
      </w:r>
      <w:r w:rsidR="00B06268" w:rsidRPr="00AA54DA">
        <w:rPr>
          <w:rFonts w:ascii="Calibri" w:hAnsi="Calibri"/>
          <w:sz w:val="24"/>
          <w:szCs w:val="24"/>
          <w:lang w:val="nb-NO"/>
        </w:rPr>
        <w:t>e</w:t>
      </w:r>
      <w:r w:rsidRPr="00AA54DA">
        <w:rPr>
          <w:rFonts w:ascii="Calibri" w:hAnsi="Calibri"/>
          <w:sz w:val="24"/>
          <w:szCs w:val="24"/>
          <w:lang w:val="nb-NO"/>
        </w:rPr>
        <w:t xml:space="preserve">ttslag. </w:t>
      </w:r>
    </w:p>
    <w:p w14:paraId="2945D388" w14:textId="77777777" w:rsidR="00694F4C" w:rsidRPr="00AA54DA" w:rsidRDefault="00694F4C" w:rsidP="00381FBD">
      <w:pPr>
        <w:pStyle w:val="Overskrift2"/>
        <w:numPr>
          <w:ilvl w:val="0"/>
          <w:numId w:val="9"/>
        </w:numPr>
        <w:rPr>
          <w:color w:val="auto"/>
        </w:rPr>
      </w:pPr>
      <w:bookmarkStart w:id="2" w:name="_Toc411545137"/>
      <w:r w:rsidRPr="00AA54DA">
        <w:rPr>
          <w:color w:val="auto"/>
        </w:rPr>
        <w:t>Hvem omfatter denne rutinen?</w:t>
      </w:r>
      <w:bookmarkEnd w:id="2"/>
      <w:r w:rsidRPr="00AA54DA">
        <w:rPr>
          <w:color w:val="auto"/>
        </w:rPr>
        <w:t xml:space="preserve"> </w:t>
      </w:r>
    </w:p>
    <w:p w14:paraId="76D0E2C4" w14:textId="77777777" w:rsidR="00694F4C" w:rsidRPr="00AA54DA" w:rsidRDefault="00694F4C" w:rsidP="00694F4C">
      <w:pPr>
        <w:pStyle w:val="NormalWeb"/>
        <w:rPr>
          <w:lang w:val="nb-NO"/>
        </w:rPr>
      </w:pPr>
      <w:r w:rsidRPr="00AA54DA">
        <w:rPr>
          <w:rFonts w:ascii="Calibri" w:hAnsi="Calibri"/>
          <w:sz w:val="24"/>
          <w:szCs w:val="24"/>
          <w:lang w:val="nb-NO"/>
        </w:rPr>
        <w:t>Alle som har en tilknytning til idrettslaget, enten som leder, foreldre, tillitsvalgt, ansatt eller u</w:t>
      </w:r>
      <w:r w:rsidR="006E1810" w:rsidRPr="00AA54DA">
        <w:rPr>
          <w:rFonts w:ascii="Calibri" w:hAnsi="Calibri"/>
          <w:sz w:val="24"/>
          <w:szCs w:val="24"/>
          <w:lang w:val="nb-NO"/>
        </w:rPr>
        <w:t>tøver har rett til å si i fra,</w:t>
      </w:r>
      <w:r w:rsidRPr="00AA54DA">
        <w:rPr>
          <w:rFonts w:ascii="Calibri" w:hAnsi="Calibri"/>
          <w:sz w:val="24"/>
          <w:szCs w:val="24"/>
          <w:lang w:val="nb-NO"/>
        </w:rPr>
        <w:t xml:space="preserve"> «varsle», på en forsvarlig måte om forhold som ansees som kritikkverdige uten risiko for negative konsekvenser. Idrettslaget ønsker med dette å legge til rette for et godt ytringsklima i klubben. </w:t>
      </w:r>
    </w:p>
    <w:p w14:paraId="62CC98A5" w14:textId="3432BD60" w:rsidR="00381FBD" w:rsidRPr="00AA54DA" w:rsidRDefault="006E1810" w:rsidP="00381FBD">
      <w:pPr>
        <w:pStyle w:val="NormalWeb"/>
        <w:rPr>
          <w:rFonts w:ascii="Calibri" w:hAnsi="Calibri"/>
          <w:sz w:val="24"/>
          <w:szCs w:val="24"/>
          <w:lang w:val="nb-NO"/>
        </w:rPr>
      </w:pPr>
      <w:r w:rsidRPr="00AA54DA">
        <w:rPr>
          <w:rFonts w:ascii="Calibri" w:eastAsia="Times New Roman" w:hAnsi="Calibri" w:cs="Calibri"/>
          <w:sz w:val="24"/>
          <w:szCs w:val="24"/>
          <w:lang w:val="nb-NO" w:eastAsia="nb-NO"/>
        </w:rPr>
        <w:t xml:space="preserve">I HIL </w:t>
      </w:r>
      <w:r w:rsidR="00406685">
        <w:rPr>
          <w:rFonts w:ascii="Calibri" w:eastAsia="Times New Roman" w:hAnsi="Calibri" w:cs="Calibri"/>
          <w:sz w:val="24"/>
          <w:szCs w:val="24"/>
          <w:lang w:val="nb-NO" w:eastAsia="nb-NO"/>
        </w:rPr>
        <w:t xml:space="preserve">Orientering </w:t>
      </w:r>
      <w:r w:rsidRPr="00AA54DA">
        <w:rPr>
          <w:rFonts w:ascii="Calibri" w:eastAsia="Times New Roman" w:hAnsi="Calibri" w:cs="Calibri"/>
          <w:sz w:val="24"/>
          <w:szCs w:val="24"/>
          <w:lang w:val="nb-NO" w:eastAsia="nb-NO"/>
        </w:rPr>
        <w:t>ønsker vi at det sies ifra om uetisk atferd som er i strid med våre verdier, svekker HILs omdømme og/eller øvrige kritikkverdige forhold. Ved kritikkverdige forhold er det viktig at noen varsler slik at disse kan rettes opp. Varslet må gjelde forhold som knytter seg til HIL, organisasjonens ansatte, tillitsvalgte eller frivillige.</w:t>
      </w:r>
      <w:r w:rsidRPr="00AA54DA">
        <w:rPr>
          <w:rFonts w:ascii="Calibri" w:hAnsi="Calibri"/>
          <w:sz w:val="24"/>
          <w:szCs w:val="24"/>
          <w:lang w:val="nb-NO"/>
        </w:rPr>
        <w:t xml:space="preserve"> </w:t>
      </w:r>
    </w:p>
    <w:p w14:paraId="5E08F01E" w14:textId="77777777" w:rsidR="00694F4C" w:rsidRPr="00AA54DA" w:rsidRDefault="00694F4C" w:rsidP="00381FBD">
      <w:pPr>
        <w:pStyle w:val="Overskrift2"/>
        <w:numPr>
          <w:ilvl w:val="0"/>
          <w:numId w:val="9"/>
        </w:numPr>
        <w:rPr>
          <w:color w:val="auto"/>
        </w:rPr>
      </w:pPr>
      <w:bookmarkStart w:id="3" w:name="_Toc411545138"/>
      <w:r w:rsidRPr="00AA54DA">
        <w:rPr>
          <w:color w:val="auto"/>
        </w:rPr>
        <w:t>Hva kan du varsle om?</w:t>
      </w:r>
      <w:bookmarkEnd w:id="3"/>
      <w:r w:rsidRPr="00AA54DA">
        <w:rPr>
          <w:color w:val="auto"/>
        </w:rPr>
        <w:t xml:space="preserve"> </w:t>
      </w:r>
    </w:p>
    <w:p w14:paraId="17F0AA9C" w14:textId="17FC82E3" w:rsidR="006E1810" w:rsidRPr="00AA54DA" w:rsidRDefault="006E1810" w:rsidP="00694F4C">
      <w:pPr>
        <w:pStyle w:val="NormalWeb"/>
        <w:numPr>
          <w:ilvl w:val="0"/>
          <w:numId w:val="3"/>
        </w:numPr>
        <w:rPr>
          <w:rFonts w:asciiTheme="majorHAnsi" w:hAnsiTheme="majorHAnsi"/>
          <w:sz w:val="24"/>
          <w:szCs w:val="24"/>
          <w:lang w:val="nb-NO"/>
        </w:rPr>
      </w:pPr>
      <w:r w:rsidRPr="00AA54DA">
        <w:rPr>
          <w:rFonts w:asciiTheme="majorHAnsi" w:hAnsiTheme="majorHAnsi" w:cs="Arial"/>
          <w:sz w:val="24"/>
          <w:szCs w:val="24"/>
          <w:lang w:val="nb-NO"/>
        </w:rPr>
        <w:t>Forhold som utgjør fare for personers liv og helse</w:t>
      </w:r>
    </w:p>
    <w:p w14:paraId="06CDD1E1" w14:textId="089A069E" w:rsidR="00694F4C" w:rsidRPr="00AA54DA" w:rsidRDefault="00694F4C" w:rsidP="00694F4C">
      <w:pPr>
        <w:pStyle w:val="NormalWeb"/>
        <w:numPr>
          <w:ilvl w:val="0"/>
          <w:numId w:val="3"/>
        </w:numPr>
        <w:rPr>
          <w:rFonts w:asciiTheme="majorHAnsi" w:hAnsiTheme="majorHAnsi"/>
          <w:sz w:val="24"/>
          <w:szCs w:val="24"/>
          <w:lang w:val="nb-NO"/>
        </w:rPr>
      </w:pPr>
      <w:r w:rsidRPr="00AA54DA">
        <w:rPr>
          <w:rFonts w:asciiTheme="majorHAnsi" w:hAnsiTheme="majorHAnsi" w:cs="Arial"/>
          <w:sz w:val="24"/>
          <w:szCs w:val="24"/>
          <w:lang w:val="nb-NO"/>
        </w:rPr>
        <w:t>Brudd på alminnelig lovgivning</w:t>
      </w:r>
    </w:p>
    <w:p w14:paraId="20F968DA" w14:textId="2909E81A" w:rsidR="00694F4C" w:rsidRPr="00AA54DA" w:rsidRDefault="00694F4C" w:rsidP="00694F4C">
      <w:pPr>
        <w:pStyle w:val="NormalWeb"/>
        <w:numPr>
          <w:ilvl w:val="0"/>
          <w:numId w:val="3"/>
        </w:numPr>
        <w:rPr>
          <w:rFonts w:asciiTheme="majorHAnsi" w:hAnsiTheme="majorHAnsi"/>
          <w:sz w:val="24"/>
          <w:szCs w:val="24"/>
          <w:lang w:val="nb-NO"/>
        </w:rPr>
      </w:pPr>
      <w:r w:rsidRPr="00AA54DA">
        <w:rPr>
          <w:rFonts w:asciiTheme="majorHAnsi" w:hAnsiTheme="majorHAnsi" w:cs="Arial"/>
          <w:sz w:val="24"/>
          <w:szCs w:val="24"/>
          <w:lang w:val="nb-NO"/>
        </w:rPr>
        <w:t xml:space="preserve">Mobbing, trakassering og diskriminering </w:t>
      </w:r>
    </w:p>
    <w:p w14:paraId="1B382AF2" w14:textId="77777777" w:rsidR="00694F4C" w:rsidRPr="00AA54DA" w:rsidRDefault="00694F4C" w:rsidP="00694F4C">
      <w:pPr>
        <w:pStyle w:val="NormalWeb"/>
        <w:numPr>
          <w:ilvl w:val="0"/>
          <w:numId w:val="3"/>
        </w:numPr>
        <w:rPr>
          <w:rFonts w:asciiTheme="majorHAnsi" w:hAnsiTheme="majorHAnsi"/>
          <w:sz w:val="24"/>
          <w:szCs w:val="24"/>
          <w:lang w:val="nb-NO"/>
        </w:rPr>
      </w:pPr>
      <w:r w:rsidRPr="00AA54DA">
        <w:rPr>
          <w:rFonts w:asciiTheme="majorHAnsi" w:hAnsiTheme="majorHAnsi" w:cs="Arial"/>
          <w:sz w:val="24"/>
          <w:szCs w:val="24"/>
          <w:lang w:val="nb-NO"/>
        </w:rPr>
        <w:t xml:space="preserve">Økonomiske misligheter </w:t>
      </w:r>
    </w:p>
    <w:p w14:paraId="54D43EC9" w14:textId="77777777" w:rsidR="00694F4C" w:rsidRPr="00AA54DA" w:rsidRDefault="00694F4C" w:rsidP="00694F4C">
      <w:pPr>
        <w:pStyle w:val="NormalWeb"/>
        <w:numPr>
          <w:ilvl w:val="0"/>
          <w:numId w:val="3"/>
        </w:numPr>
        <w:rPr>
          <w:rFonts w:asciiTheme="majorHAnsi" w:hAnsiTheme="majorHAnsi"/>
          <w:sz w:val="24"/>
          <w:szCs w:val="24"/>
          <w:lang w:val="nb-NO"/>
        </w:rPr>
      </w:pPr>
      <w:r w:rsidRPr="00AA54DA">
        <w:rPr>
          <w:rFonts w:asciiTheme="majorHAnsi" w:hAnsiTheme="majorHAnsi" w:cs="Arial"/>
          <w:sz w:val="24"/>
          <w:szCs w:val="24"/>
          <w:lang w:val="nb-NO"/>
        </w:rPr>
        <w:t xml:space="preserve">Rusmisbruk </w:t>
      </w:r>
    </w:p>
    <w:p w14:paraId="6D7979B0" w14:textId="77777777" w:rsidR="00694F4C" w:rsidRPr="00AA54DA" w:rsidRDefault="00694F4C" w:rsidP="00694F4C">
      <w:pPr>
        <w:pStyle w:val="NormalWeb"/>
        <w:numPr>
          <w:ilvl w:val="0"/>
          <w:numId w:val="3"/>
        </w:numPr>
        <w:rPr>
          <w:rFonts w:asciiTheme="majorHAnsi" w:hAnsiTheme="majorHAnsi"/>
          <w:sz w:val="24"/>
          <w:szCs w:val="24"/>
          <w:lang w:val="nb-NO"/>
        </w:rPr>
      </w:pPr>
      <w:r w:rsidRPr="00AA54DA">
        <w:rPr>
          <w:rFonts w:asciiTheme="majorHAnsi" w:hAnsiTheme="majorHAnsi" w:cs="Arial"/>
          <w:sz w:val="24"/>
          <w:szCs w:val="24"/>
          <w:lang w:val="nb-NO"/>
        </w:rPr>
        <w:t xml:space="preserve">Seksuell trakassering </w:t>
      </w:r>
    </w:p>
    <w:p w14:paraId="683E3884" w14:textId="27F8B1D4" w:rsidR="006E1810" w:rsidRPr="00AA54DA" w:rsidRDefault="006E1810" w:rsidP="00694F4C">
      <w:pPr>
        <w:pStyle w:val="NormalWeb"/>
        <w:numPr>
          <w:ilvl w:val="0"/>
          <w:numId w:val="3"/>
        </w:numPr>
        <w:rPr>
          <w:rFonts w:asciiTheme="majorHAnsi" w:hAnsiTheme="majorHAnsi"/>
          <w:sz w:val="24"/>
          <w:szCs w:val="24"/>
          <w:lang w:val="nb-NO"/>
        </w:rPr>
      </w:pPr>
      <w:r w:rsidRPr="00AA54DA">
        <w:rPr>
          <w:rFonts w:asciiTheme="majorHAnsi" w:hAnsiTheme="majorHAnsi" w:cs="Arial"/>
          <w:sz w:val="24"/>
          <w:szCs w:val="24"/>
          <w:lang w:val="nb-NO"/>
        </w:rPr>
        <w:t>Brudd på HILs vedtekter, NIFs</w:t>
      </w:r>
      <w:r w:rsidRPr="00AA54DA">
        <w:rPr>
          <w:rFonts w:asciiTheme="majorHAnsi" w:eastAsia="Times New Roman" w:hAnsiTheme="majorHAnsi" w:cs="Calibri"/>
          <w:lang w:val="nb-NO" w:eastAsia="nb-NO"/>
        </w:rPr>
        <w:t xml:space="preserve"> </w:t>
      </w:r>
      <w:r w:rsidRPr="00AA54DA">
        <w:rPr>
          <w:rFonts w:asciiTheme="majorHAnsi" w:eastAsia="Times New Roman" w:hAnsiTheme="majorHAnsi" w:cs="Calibri"/>
          <w:sz w:val="24"/>
          <w:szCs w:val="24"/>
          <w:lang w:val="nb-NO" w:eastAsia="nb-NO"/>
        </w:rPr>
        <w:t>verdier</w:t>
      </w:r>
      <w:r w:rsidRPr="00AA54DA">
        <w:rPr>
          <w:rFonts w:asciiTheme="majorHAnsi" w:eastAsia="Times New Roman" w:hAnsiTheme="majorHAnsi" w:cs="Calibri"/>
          <w:position w:val="6"/>
          <w:sz w:val="24"/>
          <w:szCs w:val="24"/>
          <w:lang w:val="nb-NO" w:eastAsia="nb-NO"/>
        </w:rPr>
        <w:t>1)</w:t>
      </w:r>
      <w:r w:rsidRPr="00AA54DA">
        <w:rPr>
          <w:rFonts w:asciiTheme="majorHAnsi" w:eastAsia="Times New Roman" w:hAnsiTheme="majorHAnsi" w:cs="Calibri"/>
          <w:lang w:val="nb-NO" w:eastAsia="nb-NO"/>
        </w:rPr>
        <w:t xml:space="preserve"> </w:t>
      </w:r>
      <w:r w:rsidRPr="00AA54DA">
        <w:rPr>
          <w:rFonts w:asciiTheme="majorHAnsi" w:hAnsiTheme="majorHAnsi" w:cs="Arial"/>
          <w:sz w:val="24"/>
          <w:szCs w:val="24"/>
          <w:lang w:val="nb-NO"/>
        </w:rPr>
        <w:t>eller allment aksepterte etiske retningslinjer</w:t>
      </w:r>
    </w:p>
    <w:p w14:paraId="360B093A" w14:textId="77777777" w:rsidR="006E1810" w:rsidRPr="00AA54DA" w:rsidRDefault="00694F4C" w:rsidP="006E1810">
      <w:pPr>
        <w:pStyle w:val="NormalWeb"/>
        <w:numPr>
          <w:ilvl w:val="0"/>
          <w:numId w:val="3"/>
        </w:numPr>
        <w:rPr>
          <w:rFonts w:asciiTheme="majorHAnsi" w:hAnsiTheme="majorHAnsi"/>
          <w:sz w:val="24"/>
          <w:szCs w:val="24"/>
          <w:lang w:val="nb-NO"/>
        </w:rPr>
      </w:pPr>
      <w:r w:rsidRPr="00AA54DA">
        <w:rPr>
          <w:rFonts w:asciiTheme="majorHAnsi" w:hAnsiTheme="majorHAnsi" w:cs="Arial"/>
          <w:sz w:val="24"/>
          <w:szCs w:val="24"/>
          <w:lang w:val="nb-NO"/>
        </w:rPr>
        <w:t xml:space="preserve">Andre kritikkverdige forhold </w:t>
      </w:r>
    </w:p>
    <w:p w14:paraId="606DD7C6" w14:textId="77777777" w:rsidR="006E1810" w:rsidRPr="00AA54DA" w:rsidRDefault="006E1810" w:rsidP="006E1810">
      <w:pPr>
        <w:pStyle w:val="NormalWeb"/>
        <w:ind w:left="720"/>
        <w:rPr>
          <w:rFonts w:ascii="Symbol" w:hAnsi="Symbol"/>
          <w:sz w:val="24"/>
          <w:szCs w:val="24"/>
          <w:lang w:val="nb-NO"/>
        </w:rPr>
      </w:pPr>
      <w:r w:rsidRPr="00AA54DA">
        <w:rPr>
          <w:rFonts w:ascii="Calibri" w:eastAsia="Times New Roman" w:hAnsi="Calibri" w:cs="Calibri"/>
          <w:position w:val="6"/>
          <w:sz w:val="14"/>
          <w:szCs w:val="14"/>
          <w:lang w:val="nb-NO" w:eastAsia="nb-NO"/>
        </w:rPr>
        <w:t>1)</w:t>
      </w:r>
      <w:r w:rsidRPr="00AA54DA">
        <w:rPr>
          <w:rFonts w:ascii="SymbolMT" w:eastAsia="Times New Roman" w:hAnsi="SymbolMT"/>
          <w:lang w:val="nb-NO" w:eastAsia="nb-NO"/>
        </w:rPr>
        <w:t xml:space="preserve">   </w:t>
      </w:r>
      <w:hyperlink r:id="rId9" w:history="1">
        <w:r w:rsidRPr="00AA54DA">
          <w:rPr>
            <w:rStyle w:val="Hyperkobling"/>
            <w:rFonts w:ascii="SymbolMT" w:eastAsia="Times New Roman" w:hAnsi="SymbolMT"/>
            <w:color w:val="auto"/>
            <w:lang w:val="nb-NO" w:eastAsia="nb-NO"/>
          </w:rPr>
          <w:t>https://www.idrettsforbundet.no/tema/nifs-verdiarbeid/</w:t>
        </w:r>
      </w:hyperlink>
    </w:p>
    <w:p w14:paraId="0A3FE069" w14:textId="5315322B" w:rsidR="00381FBD" w:rsidRPr="00AA54DA" w:rsidRDefault="00694F4C" w:rsidP="00131817">
      <w:pPr>
        <w:pStyle w:val="NormalWeb"/>
        <w:rPr>
          <w:rFonts w:ascii="Symbol" w:hAnsi="Symbol"/>
          <w:sz w:val="24"/>
          <w:szCs w:val="24"/>
          <w:lang w:val="nb-NO"/>
        </w:rPr>
      </w:pPr>
      <w:r w:rsidRPr="00AA54DA">
        <w:rPr>
          <w:rFonts w:ascii="Calibri" w:hAnsi="Calibri"/>
          <w:sz w:val="24"/>
          <w:szCs w:val="24"/>
          <w:lang w:val="nb-NO"/>
        </w:rPr>
        <w:t xml:space="preserve">Eksempler her er brudd på skatteregler, økonomisk utroskap, tyveri, korrupsjon, brudd på anskaffelsesreglement, destruktiv ledelse, mobbing, seksuell trakassering, svikt i sikkerhetsrutiner, uforsvarlig saksbehandling eller makt/myndighetsmisbruk. Listen er ikke uttømmende. </w:t>
      </w:r>
    </w:p>
    <w:p w14:paraId="4F90D0AB" w14:textId="77777777" w:rsidR="00694F4C" w:rsidRPr="00AA54DA" w:rsidRDefault="009747D4" w:rsidP="00381FBD">
      <w:pPr>
        <w:pStyle w:val="Overskrift2"/>
        <w:numPr>
          <w:ilvl w:val="0"/>
          <w:numId w:val="9"/>
        </w:numPr>
        <w:rPr>
          <w:rFonts w:ascii="Symbol" w:hAnsi="Symbol"/>
          <w:color w:val="auto"/>
        </w:rPr>
      </w:pPr>
      <w:bookmarkStart w:id="4" w:name="_Toc411545139"/>
      <w:r w:rsidRPr="00AA54DA">
        <w:rPr>
          <w:color w:val="auto"/>
        </w:rPr>
        <w:t>Hvem</w:t>
      </w:r>
      <w:r w:rsidR="00694F4C" w:rsidRPr="00AA54DA">
        <w:rPr>
          <w:color w:val="auto"/>
        </w:rPr>
        <w:t xml:space="preserve"> skal det varsles til?</w:t>
      </w:r>
      <w:bookmarkEnd w:id="4"/>
      <w:r w:rsidR="00694F4C" w:rsidRPr="00AA54DA">
        <w:rPr>
          <w:color w:val="auto"/>
        </w:rPr>
        <w:t xml:space="preserve"> </w:t>
      </w:r>
    </w:p>
    <w:p w14:paraId="01A216A1" w14:textId="77777777" w:rsidR="00694F4C" w:rsidRPr="00AA54DA" w:rsidRDefault="00694F4C" w:rsidP="00763186">
      <w:pPr>
        <w:pStyle w:val="NormalWeb"/>
        <w:rPr>
          <w:rFonts w:ascii="Symbol" w:hAnsi="Symbol"/>
          <w:sz w:val="24"/>
          <w:szCs w:val="24"/>
          <w:lang w:val="nb-NO"/>
        </w:rPr>
      </w:pPr>
      <w:r w:rsidRPr="00AA54DA">
        <w:rPr>
          <w:rFonts w:ascii="Calibri" w:hAnsi="Calibri"/>
          <w:sz w:val="24"/>
          <w:szCs w:val="24"/>
          <w:lang w:val="nb-NO"/>
        </w:rPr>
        <w:t xml:space="preserve">All varsling skal som hovedregel skje internt i klubben, og med internt menes gjennom den naturlige organiseringen i den gruppen du ønsker å varsle om. </w:t>
      </w:r>
    </w:p>
    <w:p w14:paraId="424ABE2F" w14:textId="77777777" w:rsidR="00763186" w:rsidRPr="00AA54DA" w:rsidRDefault="00763186" w:rsidP="00763186">
      <w:pPr>
        <w:pStyle w:val="NormalWeb"/>
        <w:rPr>
          <w:rFonts w:ascii="Calibri" w:hAnsi="Calibri"/>
          <w:sz w:val="24"/>
          <w:szCs w:val="24"/>
          <w:lang w:val="nb-NO"/>
        </w:rPr>
      </w:pPr>
      <w:r w:rsidRPr="00AA54DA">
        <w:rPr>
          <w:rFonts w:ascii="Calibri" w:hAnsi="Calibri"/>
          <w:sz w:val="24"/>
          <w:szCs w:val="24"/>
          <w:lang w:val="nb-NO"/>
        </w:rPr>
        <w:t xml:space="preserve">Det skal som hovedregel varsles til nærmeste leder eller ansvarshavende i det organisasjonsleddet det gjelder. </w:t>
      </w:r>
    </w:p>
    <w:p w14:paraId="486EE48C" w14:textId="6F8A0AF6" w:rsidR="00694F4C" w:rsidRPr="00AA54DA" w:rsidRDefault="00694F4C" w:rsidP="00763186">
      <w:pPr>
        <w:pStyle w:val="NormalWeb"/>
        <w:rPr>
          <w:rFonts w:ascii="Symbol" w:hAnsi="Symbol"/>
          <w:sz w:val="24"/>
          <w:szCs w:val="24"/>
          <w:lang w:val="nb-NO"/>
        </w:rPr>
      </w:pPr>
      <w:r w:rsidRPr="00AA54DA">
        <w:rPr>
          <w:rFonts w:ascii="Calibri" w:hAnsi="Calibri"/>
          <w:sz w:val="24"/>
          <w:szCs w:val="24"/>
          <w:lang w:val="nb-NO"/>
        </w:rPr>
        <w:t>Hvis din ytring ikke kan tas opp direkte med eventuell trener/lagleder for gruppen, er det naturlige å var</w:t>
      </w:r>
      <w:r w:rsidR="00763186" w:rsidRPr="00AA54DA">
        <w:rPr>
          <w:rFonts w:ascii="Calibri" w:hAnsi="Calibri"/>
          <w:sz w:val="24"/>
          <w:szCs w:val="24"/>
          <w:lang w:val="nb-NO"/>
        </w:rPr>
        <w:t>sle dire</w:t>
      </w:r>
      <w:r w:rsidR="00131817">
        <w:rPr>
          <w:rFonts w:ascii="Calibri" w:hAnsi="Calibri"/>
          <w:sz w:val="24"/>
          <w:szCs w:val="24"/>
          <w:lang w:val="nb-NO"/>
        </w:rPr>
        <w:t xml:space="preserve">kte til styreleder og saken </w:t>
      </w:r>
      <w:r w:rsidR="00763186" w:rsidRPr="00AA54DA">
        <w:rPr>
          <w:rFonts w:ascii="Calibri" w:hAnsi="Calibri"/>
          <w:sz w:val="24"/>
          <w:szCs w:val="24"/>
          <w:lang w:val="nb-NO"/>
        </w:rPr>
        <w:t xml:space="preserve">løses i </w:t>
      </w:r>
      <w:r w:rsidR="00406685">
        <w:rPr>
          <w:rFonts w:ascii="Calibri" w:hAnsi="Calibri"/>
          <w:sz w:val="24"/>
          <w:szCs w:val="24"/>
          <w:lang w:val="nb-NO"/>
        </w:rPr>
        <w:t xml:space="preserve">styret. </w:t>
      </w:r>
    </w:p>
    <w:p w14:paraId="06F2FA22" w14:textId="0C3E54D6" w:rsidR="00D2240B" w:rsidRPr="00AA54DA" w:rsidRDefault="00D2240B" w:rsidP="00D2240B">
      <w:pPr>
        <w:pStyle w:val="NormalWeb"/>
        <w:rPr>
          <w:rFonts w:ascii="Symbol" w:hAnsi="Symbol"/>
          <w:sz w:val="22"/>
          <w:szCs w:val="22"/>
          <w:lang w:val="nb-NO"/>
        </w:rPr>
      </w:pPr>
      <w:r w:rsidRPr="00AA54DA">
        <w:rPr>
          <w:rFonts w:ascii="Calibri" w:hAnsi="Calibri"/>
          <w:sz w:val="24"/>
          <w:szCs w:val="24"/>
          <w:lang w:val="nb-NO"/>
        </w:rPr>
        <w:lastRenderedPageBreak/>
        <w:t>Ønsker du å varsle totalt anonymt, kan dette gjøres ved å legge en konvolutt med din ytring i postkassen til Haugesund idrettslag v/daglig leder. Varselet vil bli fulgt opp og undersøkt, men en tilba</w:t>
      </w:r>
      <w:r w:rsidR="00131817">
        <w:rPr>
          <w:rFonts w:ascii="Calibri" w:hAnsi="Calibri"/>
          <w:sz w:val="24"/>
          <w:szCs w:val="24"/>
          <w:lang w:val="nb-NO"/>
        </w:rPr>
        <w:t xml:space="preserve">kemelding vil naturlig nok ikke være </w:t>
      </w:r>
      <w:r w:rsidRPr="00AA54DA">
        <w:rPr>
          <w:rFonts w:ascii="Calibri" w:hAnsi="Calibri"/>
          <w:sz w:val="24"/>
          <w:szCs w:val="24"/>
          <w:lang w:val="nb-NO"/>
        </w:rPr>
        <w:t xml:space="preserve">mulig. Saken vil bli loggført og behandlet, men ønsker du å forbli anonym vil imidlertid full kartlegging av saksforholdet kunne bli vanskeliggjort. </w:t>
      </w:r>
    </w:p>
    <w:p w14:paraId="2A8AF6F8" w14:textId="77777777" w:rsidR="00406685" w:rsidRPr="00406685" w:rsidRDefault="00406685" w:rsidP="00406685">
      <w:pPr>
        <w:pStyle w:val="NormalWeb"/>
        <w:rPr>
          <w:rFonts w:ascii="Calibri" w:hAnsi="Calibri"/>
          <w:sz w:val="24"/>
          <w:szCs w:val="24"/>
          <w:lang w:val="nb-NO"/>
        </w:rPr>
      </w:pPr>
    </w:p>
    <w:p w14:paraId="61C7C80B" w14:textId="77777777" w:rsidR="009747D4" w:rsidRPr="00AA54DA" w:rsidRDefault="009747D4" w:rsidP="00381FBD">
      <w:pPr>
        <w:pStyle w:val="Overskrift2"/>
        <w:numPr>
          <w:ilvl w:val="0"/>
          <w:numId w:val="9"/>
        </w:numPr>
        <w:rPr>
          <w:color w:val="auto"/>
        </w:rPr>
      </w:pPr>
      <w:bookmarkStart w:id="5" w:name="_Toc411545140"/>
      <w:r w:rsidRPr="00AA54DA">
        <w:rPr>
          <w:color w:val="auto"/>
        </w:rPr>
        <w:t>Hvordan skal det varsles?</w:t>
      </w:r>
      <w:bookmarkEnd w:id="5"/>
    </w:p>
    <w:p w14:paraId="485248CE" w14:textId="2AB69888" w:rsidR="009747D4" w:rsidRPr="00AA54DA" w:rsidRDefault="00406685" w:rsidP="009747D4">
      <w:pPr>
        <w:spacing w:before="100" w:beforeAutospacing="1" w:after="100" w:afterAutospacing="1"/>
        <w:rPr>
          <w:rFonts w:ascii="Times New Roman" w:eastAsia="Times New Roman" w:hAnsi="Times New Roman" w:cs="Times New Roman"/>
          <w:lang w:eastAsia="nb-NO"/>
        </w:rPr>
      </w:pPr>
      <w:r>
        <w:rPr>
          <w:rFonts w:ascii="Calibri" w:eastAsia="Times New Roman" w:hAnsi="Calibri" w:cs="Calibri"/>
          <w:lang w:eastAsia="nb-NO"/>
        </w:rPr>
        <w:t xml:space="preserve">Varsling kan </w:t>
      </w:r>
      <w:r w:rsidR="009747D4" w:rsidRPr="00AA54DA">
        <w:rPr>
          <w:rFonts w:ascii="Calibri" w:eastAsia="Times New Roman" w:hAnsi="Calibri" w:cs="Calibri"/>
          <w:lang w:eastAsia="nb-NO"/>
        </w:rPr>
        <w:t xml:space="preserve">gjøres ved personlig oppmøte, via telefon eller skriftlig. Et varsel bør inneholde ditt fulle navn, med mindre du velger å være anonym. Du bør beskrive grunnlaget for din observasjon eller bekymring. Dette kan være hva du har sett, opplevd eller observert. Vær så konkret som mulig i din beskrivelse og angi tid og sted dersom du har dette. Gi gjerne også informasjon om tidligere saker du kjenner til som kan ha betydning for varslingen og hvem som for øvrig er kjent med forholdet det varsles om. Varslingen skal skje på forsvarlig måte, og den som varsler må ta ansvar for sine ytringer. </w:t>
      </w:r>
    </w:p>
    <w:p w14:paraId="17BFD583" w14:textId="77777777" w:rsidR="0074243B" w:rsidRPr="00AA54DA" w:rsidRDefault="009747D4" w:rsidP="0074243B">
      <w:pPr>
        <w:rPr>
          <w:rFonts w:ascii="Calibri" w:eastAsia="Times New Roman" w:hAnsi="Calibri" w:cs="Calibri"/>
          <w:lang w:eastAsia="nb-NO"/>
        </w:rPr>
      </w:pPr>
      <w:r w:rsidRPr="00AA54DA">
        <w:rPr>
          <w:rFonts w:ascii="Calibri" w:eastAsia="Times New Roman" w:hAnsi="Calibri" w:cs="Calibri"/>
          <w:lang w:eastAsia="nb-NO"/>
        </w:rPr>
        <w:t>Varsler har rett til å varsle anonymt, men det vil gjøre undersøkelse og utredning av varslet enklere om du oppgir navn og kontaktinformasjon. Alle varsler skal uansett behandles konfidensielt.</w:t>
      </w:r>
    </w:p>
    <w:p w14:paraId="356ED1CA" w14:textId="77777777" w:rsidR="00381FBD" w:rsidRPr="00AA54DA" w:rsidRDefault="00381FBD" w:rsidP="0074243B">
      <w:pPr>
        <w:rPr>
          <w:rFonts w:ascii="Calibri" w:eastAsia="Times New Roman" w:hAnsi="Calibri" w:cs="Calibri"/>
          <w:lang w:eastAsia="nb-NO"/>
        </w:rPr>
      </w:pPr>
    </w:p>
    <w:p w14:paraId="77730BFE" w14:textId="77777777" w:rsidR="00381FBD" w:rsidRPr="00AA54DA" w:rsidRDefault="00381FBD" w:rsidP="0074243B">
      <w:pPr>
        <w:rPr>
          <w:rFonts w:ascii="Calibri" w:eastAsia="Times New Roman" w:hAnsi="Calibri" w:cs="Calibri"/>
          <w:lang w:eastAsia="nb-NO"/>
        </w:rPr>
      </w:pPr>
    </w:p>
    <w:p w14:paraId="13A018C5" w14:textId="77777777" w:rsidR="00694F4C" w:rsidRPr="00AA54DA" w:rsidRDefault="00694F4C" w:rsidP="00381FBD">
      <w:pPr>
        <w:pStyle w:val="Overskrift2"/>
        <w:numPr>
          <w:ilvl w:val="0"/>
          <w:numId w:val="9"/>
        </w:numPr>
        <w:rPr>
          <w:color w:val="auto"/>
        </w:rPr>
      </w:pPr>
      <w:bookmarkStart w:id="6" w:name="_Toc411545141"/>
      <w:r w:rsidRPr="00AA54DA">
        <w:rPr>
          <w:color w:val="auto"/>
        </w:rPr>
        <w:t xml:space="preserve">Hvordan </w:t>
      </w:r>
      <w:r w:rsidR="009747D4" w:rsidRPr="00AA54DA">
        <w:rPr>
          <w:color w:val="auto"/>
        </w:rPr>
        <w:t>håndteres</w:t>
      </w:r>
      <w:r w:rsidRPr="00AA54DA">
        <w:rPr>
          <w:color w:val="auto"/>
        </w:rPr>
        <w:t xml:space="preserve"> varsler i </w:t>
      </w:r>
      <w:r w:rsidR="009747D4" w:rsidRPr="00AA54DA">
        <w:rPr>
          <w:color w:val="auto"/>
        </w:rPr>
        <w:t>Haugesund idrettslag</w:t>
      </w:r>
      <w:r w:rsidRPr="00AA54DA">
        <w:rPr>
          <w:color w:val="auto"/>
        </w:rPr>
        <w:t>?</w:t>
      </w:r>
      <w:bookmarkEnd w:id="6"/>
      <w:r w:rsidRPr="00AA54DA">
        <w:rPr>
          <w:color w:val="auto"/>
        </w:rPr>
        <w:t xml:space="preserve"> </w:t>
      </w:r>
    </w:p>
    <w:p w14:paraId="7FE2FD07" w14:textId="77777777" w:rsidR="00694F4C" w:rsidRPr="00C33FFA" w:rsidRDefault="00694F4C" w:rsidP="00694F4C">
      <w:pPr>
        <w:pStyle w:val="NormalWeb"/>
        <w:rPr>
          <w:sz w:val="24"/>
          <w:szCs w:val="24"/>
          <w:lang w:val="nb-NO"/>
        </w:rPr>
      </w:pPr>
      <w:r w:rsidRPr="00AA54DA">
        <w:rPr>
          <w:rFonts w:ascii="Calibri" w:hAnsi="Calibri"/>
          <w:sz w:val="24"/>
          <w:szCs w:val="24"/>
          <w:lang w:val="nb-NO"/>
        </w:rPr>
        <w:t xml:space="preserve">Disse </w:t>
      </w:r>
      <w:r w:rsidRPr="00C33FFA">
        <w:rPr>
          <w:rFonts w:ascii="Calibri" w:hAnsi="Calibri"/>
          <w:sz w:val="24"/>
          <w:szCs w:val="24"/>
          <w:lang w:val="nb-NO"/>
        </w:rPr>
        <w:t xml:space="preserve">grunnleggende prinsippene skal legges til grunn ved håndtering av et varsel: </w:t>
      </w:r>
    </w:p>
    <w:p w14:paraId="4211EFFA" w14:textId="77777777" w:rsidR="00694F4C" w:rsidRPr="00C33FFA" w:rsidRDefault="00694F4C" w:rsidP="00694F4C">
      <w:pPr>
        <w:pStyle w:val="NormalWeb"/>
        <w:numPr>
          <w:ilvl w:val="0"/>
          <w:numId w:val="4"/>
        </w:numPr>
        <w:rPr>
          <w:rFonts w:ascii="Symbol" w:hAnsi="Symbol"/>
          <w:sz w:val="24"/>
          <w:szCs w:val="24"/>
          <w:lang w:val="nb-NO"/>
        </w:rPr>
      </w:pPr>
      <w:r w:rsidRPr="00C33FFA">
        <w:rPr>
          <w:rFonts w:ascii="Calibri" w:hAnsi="Calibri"/>
          <w:sz w:val="24"/>
          <w:szCs w:val="24"/>
          <w:lang w:val="nb-NO"/>
        </w:rPr>
        <w:t>Den som varsler skal beskyttes mot gjengjeldelse</w:t>
      </w:r>
      <w:r w:rsidR="007B26F2" w:rsidRPr="00C33FFA">
        <w:rPr>
          <w:rFonts w:ascii="Calibri" w:hAnsi="Calibri"/>
          <w:sz w:val="24"/>
          <w:szCs w:val="24"/>
          <w:lang w:val="nb-NO"/>
        </w:rPr>
        <w:t>.</w:t>
      </w:r>
      <w:r w:rsidRPr="00C33FFA">
        <w:rPr>
          <w:rFonts w:ascii="Calibri" w:hAnsi="Calibri"/>
          <w:sz w:val="24"/>
          <w:szCs w:val="24"/>
          <w:lang w:val="nb-NO"/>
        </w:rPr>
        <w:t xml:space="preserve"> </w:t>
      </w:r>
    </w:p>
    <w:p w14:paraId="45301C2B" w14:textId="77777777" w:rsidR="00694F4C" w:rsidRPr="00C33FFA" w:rsidRDefault="00694F4C" w:rsidP="00694F4C">
      <w:pPr>
        <w:pStyle w:val="NormalWeb"/>
        <w:numPr>
          <w:ilvl w:val="0"/>
          <w:numId w:val="4"/>
        </w:numPr>
        <w:rPr>
          <w:rFonts w:ascii="Symbol" w:hAnsi="Symbol"/>
          <w:sz w:val="24"/>
          <w:szCs w:val="24"/>
          <w:lang w:val="nb-NO"/>
        </w:rPr>
      </w:pPr>
      <w:r w:rsidRPr="00C33FFA">
        <w:rPr>
          <w:rFonts w:ascii="Calibri" w:hAnsi="Calibri"/>
          <w:sz w:val="24"/>
          <w:szCs w:val="24"/>
          <w:lang w:val="nb-NO"/>
        </w:rPr>
        <w:t>Alle varsler skal tas alvorlig</w:t>
      </w:r>
      <w:r w:rsidR="007B26F2" w:rsidRPr="00C33FFA">
        <w:rPr>
          <w:rFonts w:ascii="Calibri" w:hAnsi="Calibri"/>
          <w:sz w:val="24"/>
          <w:szCs w:val="24"/>
          <w:lang w:val="nb-NO"/>
        </w:rPr>
        <w:t>.</w:t>
      </w:r>
      <w:r w:rsidRPr="00C33FFA">
        <w:rPr>
          <w:rFonts w:ascii="Calibri" w:hAnsi="Calibri"/>
          <w:sz w:val="24"/>
          <w:szCs w:val="24"/>
          <w:lang w:val="nb-NO"/>
        </w:rPr>
        <w:t xml:space="preserve"> </w:t>
      </w:r>
    </w:p>
    <w:p w14:paraId="61B568FF" w14:textId="77777777" w:rsidR="007B26F2" w:rsidRPr="00C33FFA" w:rsidRDefault="00694F4C" w:rsidP="007B26F2">
      <w:pPr>
        <w:pStyle w:val="NormalWeb"/>
        <w:numPr>
          <w:ilvl w:val="0"/>
          <w:numId w:val="4"/>
        </w:numPr>
        <w:rPr>
          <w:rFonts w:ascii="Symbol" w:hAnsi="Symbol"/>
          <w:sz w:val="24"/>
          <w:szCs w:val="24"/>
          <w:lang w:val="nb-NO"/>
        </w:rPr>
      </w:pPr>
      <w:r w:rsidRPr="00C33FFA">
        <w:rPr>
          <w:rFonts w:ascii="Calibri" w:hAnsi="Calibri"/>
          <w:sz w:val="24"/>
          <w:szCs w:val="24"/>
          <w:lang w:val="nb-NO"/>
        </w:rPr>
        <w:t>Mottaker av et varsel skal alltid sørge for en forsvarlig behandling av saken</w:t>
      </w:r>
      <w:r w:rsidR="007B26F2" w:rsidRPr="00C33FFA">
        <w:rPr>
          <w:rFonts w:ascii="Calibri" w:hAnsi="Calibri"/>
          <w:sz w:val="24"/>
          <w:szCs w:val="24"/>
          <w:lang w:val="nb-NO"/>
        </w:rPr>
        <w:t>.</w:t>
      </w:r>
    </w:p>
    <w:p w14:paraId="666147D2" w14:textId="4711D302" w:rsidR="00C33FFA" w:rsidRPr="00C33FFA" w:rsidRDefault="00C33FFA" w:rsidP="00C33FFA">
      <w:pPr>
        <w:pStyle w:val="NormalWeb"/>
        <w:numPr>
          <w:ilvl w:val="0"/>
          <w:numId w:val="4"/>
        </w:numPr>
        <w:rPr>
          <w:rFonts w:ascii="Symbol" w:hAnsi="Symbol"/>
          <w:sz w:val="24"/>
          <w:szCs w:val="24"/>
          <w:lang w:val="nb-NO"/>
        </w:rPr>
      </w:pPr>
      <w:r w:rsidRPr="00C33FFA">
        <w:rPr>
          <w:rFonts w:ascii="Calibri" w:hAnsi="Calibri"/>
          <w:sz w:val="24"/>
          <w:szCs w:val="24"/>
          <w:lang w:val="nb-NO"/>
        </w:rPr>
        <w:t>Den som har varslet skal innen en uke få bekreftelse på at et varsel er mottatt, og få informasjon om utfallet av saken</w:t>
      </w:r>
      <w:r w:rsidR="0087332C">
        <w:rPr>
          <w:rFonts w:ascii="Calibri" w:hAnsi="Calibri"/>
          <w:sz w:val="24"/>
          <w:szCs w:val="24"/>
          <w:lang w:val="nb-NO"/>
        </w:rPr>
        <w:t xml:space="preserve"> når den er ferdig behandlet</w:t>
      </w:r>
      <w:r w:rsidRPr="00C33FFA">
        <w:rPr>
          <w:rFonts w:ascii="Calibri" w:hAnsi="Calibri"/>
          <w:sz w:val="24"/>
          <w:szCs w:val="24"/>
          <w:lang w:val="nb-NO"/>
        </w:rPr>
        <w:t xml:space="preserve">, med mindre varsler er anonym. </w:t>
      </w:r>
    </w:p>
    <w:p w14:paraId="5F1BE67A" w14:textId="77777777" w:rsidR="00C33FFA" w:rsidRPr="00C33FFA" w:rsidRDefault="00694F4C" w:rsidP="007B26F2">
      <w:pPr>
        <w:pStyle w:val="NormalWeb"/>
        <w:numPr>
          <w:ilvl w:val="0"/>
          <w:numId w:val="4"/>
        </w:numPr>
        <w:rPr>
          <w:rFonts w:ascii="Symbol" w:hAnsi="Symbol"/>
          <w:sz w:val="24"/>
          <w:szCs w:val="24"/>
          <w:lang w:val="nb-NO"/>
        </w:rPr>
      </w:pPr>
      <w:r w:rsidRPr="00C33FFA">
        <w:rPr>
          <w:rFonts w:ascii="Calibri" w:hAnsi="Calibri"/>
          <w:sz w:val="24"/>
          <w:szCs w:val="24"/>
          <w:lang w:val="nb-NO"/>
        </w:rPr>
        <w:t>Varslingssaker skal behandles fortrolig. Fortrolighet innebærer i denne sammenheng at identitet til varsler og den/de det ev. er varslet om, ikke skal gjøres kjent for flere enn det som er nødvendig for den videre behandling av saken</w:t>
      </w:r>
      <w:r w:rsidR="007B26F2" w:rsidRPr="00C33FFA">
        <w:rPr>
          <w:rFonts w:ascii="Calibri" w:hAnsi="Calibri"/>
          <w:sz w:val="24"/>
          <w:szCs w:val="24"/>
          <w:lang w:val="nb-NO"/>
        </w:rPr>
        <w:t>.</w:t>
      </w:r>
      <w:r w:rsidRPr="00C33FFA">
        <w:rPr>
          <w:rFonts w:ascii="Calibri" w:hAnsi="Calibri"/>
          <w:sz w:val="24"/>
          <w:szCs w:val="24"/>
          <w:lang w:val="nb-NO"/>
        </w:rPr>
        <w:t xml:space="preserve"> </w:t>
      </w:r>
    </w:p>
    <w:p w14:paraId="0789F481" w14:textId="739FAC83" w:rsidR="007B26F2" w:rsidRPr="00C33FFA" w:rsidRDefault="00C33FFA" w:rsidP="007B26F2">
      <w:pPr>
        <w:pStyle w:val="NormalWeb"/>
        <w:numPr>
          <w:ilvl w:val="0"/>
          <w:numId w:val="4"/>
        </w:numPr>
        <w:rPr>
          <w:rFonts w:ascii="Symbol" w:hAnsi="Symbol"/>
          <w:sz w:val="24"/>
          <w:szCs w:val="24"/>
          <w:lang w:val="nb-NO"/>
        </w:rPr>
      </w:pPr>
      <w:r w:rsidRPr="00C33FFA">
        <w:rPr>
          <w:rFonts w:ascii="Calibri" w:eastAsia="Times New Roman" w:hAnsi="Calibri" w:cs="Calibri"/>
          <w:sz w:val="24"/>
          <w:szCs w:val="24"/>
          <w:lang w:eastAsia="nb-NO"/>
        </w:rPr>
        <w:t>Varsler</w:t>
      </w:r>
      <w:r>
        <w:rPr>
          <w:rFonts w:ascii="Calibri" w:eastAsia="Times New Roman" w:hAnsi="Calibri" w:cs="Calibri"/>
          <w:sz w:val="24"/>
          <w:szCs w:val="24"/>
          <w:lang w:eastAsia="nb-NO"/>
        </w:rPr>
        <w:t xml:space="preserve"> og den det evt varsles om</w:t>
      </w:r>
      <w:r w:rsidRPr="00C33FFA">
        <w:rPr>
          <w:rFonts w:ascii="Calibri" w:eastAsia="Times New Roman" w:hAnsi="Calibri" w:cs="Calibri"/>
          <w:sz w:val="24"/>
          <w:szCs w:val="24"/>
          <w:lang w:eastAsia="nb-NO"/>
        </w:rPr>
        <w:t xml:space="preserve"> skal gis mulighet til å legge fremme sitt syn på saken, og skal gis mulighet til å la seg bistå av en tillitsperson.</w:t>
      </w:r>
    </w:p>
    <w:p w14:paraId="05C649C6" w14:textId="69AB2C90" w:rsidR="007B26F2" w:rsidRPr="00C33FFA" w:rsidRDefault="00046419" w:rsidP="007B26F2">
      <w:pPr>
        <w:pStyle w:val="NormalWeb"/>
        <w:numPr>
          <w:ilvl w:val="0"/>
          <w:numId w:val="4"/>
        </w:numPr>
        <w:rPr>
          <w:rFonts w:ascii="Symbol" w:hAnsi="Symbol"/>
          <w:sz w:val="24"/>
          <w:szCs w:val="24"/>
          <w:lang w:val="nb-NO"/>
        </w:rPr>
      </w:pPr>
      <w:r w:rsidRPr="00C33FFA">
        <w:rPr>
          <w:rFonts w:ascii="Calibri" w:eastAsia="Times New Roman" w:hAnsi="Calibri" w:cs="Calibri"/>
          <w:sz w:val="24"/>
          <w:szCs w:val="24"/>
          <w:lang w:val="nb-NO" w:eastAsia="nb-NO"/>
        </w:rPr>
        <w:t xml:space="preserve">Gjelder varselet et styremedlem </w:t>
      </w:r>
      <w:r w:rsidR="008B62B7">
        <w:rPr>
          <w:rFonts w:ascii="Calibri" w:eastAsia="Times New Roman" w:hAnsi="Calibri" w:cs="Calibri"/>
          <w:sz w:val="24"/>
          <w:szCs w:val="24"/>
          <w:lang w:val="nb-NO" w:eastAsia="nb-NO"/>
        </w:rPr>
        <w:t xml:space="preserve">vurderer styret å videresende varselet til et annet nøytralt organ. </w:t>
      </w:r>
    </w:p>
    <w:p w14:paraId="04B2B29C" w14:textId="77777777" w:rsidR="00D2240B" w:rsidRPr="00C33FFA" w:rsidRDefault="00046419" w:rsidP="007B26F2">
      <w:pPr>
        <w:pStyle w:val="NormalWeb"/>
        <w:numPr>
          <w:ilvl w:val="0"/>
          <w:numId w:val="4"/>
        </w:numPr>
        <w:rPr>
          <w:rFonts w:ascii="Symbol" w:hAnsi="Symbol"/>
          <w:sz w:val="24"/>
          <w:szCs w:val="24"/>
          <w:lang w:val="nb-NO"/>
        </w:rPr>
      </w:pPr>
      <w:r w:rsidRPr="00C33FFA">
        <w:rPr>
          <w:rFonts w:ascii="Calibri" w:eastAsia="Times New Roman" w:hAnsi="Calibri"/>
          <w:sz w:val="24"/>
          <w:szCs w:val="24"/>
          <w:lang w:val="nb-NO" w:eastAsia="nb-NO"/>
        </w:rPr>
        <w:t>Dersom det har forekommet varslingssaker skal styrets årsrapport vise til antall og at varslingsrutine er fulgt.</w:t>
      </w:r>
      <w:r w:rsidR="00D2240B" w:rsidRPr="00C33FFA">
        <w:rPr>
          <w:rFonts w:ascii="Calibri" w:hAnsi="Calibri"/>
          <w:sz w:val="24"/>
          <w:szCs w:val="24"/>
        </w:rPr>
        <w:t xml:space="preserve"> </w:t>
      </w:r>
    </w:p>
    <w:p w14:paraId="13B37600" w14:textId="5FBD254B" w:rsidR="00D2240B" w:rsidRPr="00C33FFA" w:rsidRDefault="00D2240B" w:rsidP="00D2240B">
      <w:pPr>
        <w:pStyle w:val="NormalWeb"/>
        <w:numPr>
          <w:ilvl w:val="0"/>
          <w:numId w:val="4"/>
        </w:numPr>
        <w:rPr>
          <w:rFonts w:ascii="Symbol" w:hAnsi="Symbol"/>
          <w:sz w:val="24"/>
          <w:szCs w:val="24"/>
          <w:lang w:val="nb-NO"/>
        </w:rPr>
      </w:pPr>
      <w:r w:rsidRPr="00C33FFA">
        <w:rPr>
          <w:rFonts w:ascii="Calibri" w:hAnsi="Calibri"/>
          <w:sz w:val="24"/>
          <w:szCs w:val="24"/>
        </w:rPr>
        <w:t>Mot</w:t>
      </w:r>
      <w:r w:rsidR="00C33FFA">
        <w:rPr>
          <w:rFonts w:ascii="Calibri" w:hAnsi="Calibri"/>
          <w:sz w:val="24"/>
          <w:szCs w:val="24"/>
        </w:rPr>
        <w:t xml:space="preserve">taker av varselet plikter </w:t>
      </w:r>
      <w:r w:rsidRPr="00C33FFA">
        <w:rPr>
          <w:rFonts w:ascii="Calibri" w:hAnsi="Calibri"/>
          <w:sz w:val="24"/>
          <w:szCs w:val="24"/>
        </w:rPr>
        <w:t xml:space="preserve">å informere </w:t>
      </w:r>
      <w:r w:rsidR="00C33FFA">
        <w:rPr>
          <w:rFonts w:ascii="Calibri" w:hAnsi="Calibri"/>
          <w:sz w:val="24"/>
          <w:szCs w:val="24"/>
        </w:rPr>
        <w:t>styrets leder</w:t>
      </w:r>
      <w:r w:rsidRPr="00C33FFA">
        <w:rPr>
          <w:rFonts w:ascii="Calibri" w:hAnsi="Calibri"/>
          <w:sz w:val="24"/>
          <w:szCs w:val="24"/>
        </w:rPr>
        <w:t xml:space="preserve"> som loggfører henvendelsen din</w:t>
      </w:r>
      <w:r w:rsidRPr="00C33FFA">
        <w:rPr>
          <w:rFonts w:ascii="Calibri" w:eastAsia="Times New Roman" w:hAnsi="Calibri" w:cs="Calibri"/>
          <w:sz w:val="24"/>
          <w:szCs w:val="24"/>
          <w:lang w:eastAsia="nb-NO"/>
        </w:rPr>
        <w:t xml:space="preserve">, hvor </w:t>
      </w:r>
      <w:bookmarkStart w:id="7" w:name="_GoBack"/>
      <w:bookmarkEnd w:id="7"/>
      <w:r w:rsidRPr="00C33FFA">
        <w:rPr>
          <w:rFonts w:ascii="Calibri" w:eastAsia="Times New Roman" w:hAnsi="Calibri" w:cs="Calibri"/>
          <w:sz w:val="24"/>
          <w:szCs w:val="24"/>
          <w:lang w:eastAsia="nb-NO"/>
        </w:rPr>
        <w:t xml:space="preserve">det fremgår om saken ble behandlet, hvordan den </w:t>
      </w:r>
      <w:r w:rsidRPr="00C33FFA">
        <w:rPr>
          <w:rFonts w:ascii="Calibri" w:eastAsia="Times New Roman" w:hAnsi="Calibri" w:cs="Calibri"/>
          <w:sz w:val="24"/>
          <w:szCs w:val="24"/>
          <w:lang w:eastAsia="nb-NO"/>
        </w:rPr>
        <w:lastRenderedPageBreak/>
        <w:t xml:space="preserve">ble behandlet, hvem som deltok og resultatet av varslingen. Logg og øvrige saksdokumenter skal arkiveres og lagres som </w:t>
      </w:r>
      <w:r w:rsidR="00C33FFA">
        <w:rPr>
          <w:rFonts w:ascii="Calibri" w:eastAsia="Times New Roman" w:hAnsi="Calibri" w:cs="Calibri"/>
          <w:sz w:val="24"/>
          <w:szCs w:val="24"/>
          <w:lang w:eastAsia="nb-NO"/>
        </w:rPr>
        <w:t>fortrolig på betryggende måte</w:t>
      </w:r>
      <w:r w:rsidRPr="00C33FFA">
        <w:rPr>
          <w:rFonts w:ascii="Calibri" w:eastAsia="Times New Roman" w:hAnsi="Calibri" w:cs="Calibri"/>
          <w:lang w:eastAsia="nb-NO"/>
        </w:rPr>
        <w:t xml:space="preserve">. </w:t>
      </w:r>
    </w:p>
    <w:p w14:paraId="4EEF7A64" w14:textId="77777777" w:rsidR="00D2240B" w:rsidRPr="00D2240B" w:rsidRDefault="00D2240B" w:rsidP="00381FBD">
      <w:pPr>
        <w:spacing w:before="100" w:beforeAutospacing="1" w:after="100" w:afterAutospacing="1"/>
        <w:rPr>
          <w:rFonts w:ascii="Calibri" w:eastAsia="Times New Roman" w:hAnsi="Calibri" w:cs="Calibri"/>
          <w:lang w:eastAsia="nb-NO"/>
        </w:rPr>
      </w:pPr>
    </w:p>
    <w:p w14:paraId="67DF05ED" w14:textId="77777777" w:rsidR="00694F4C" w:rsidRPr="00AA54DA" w:rsidRDefault="00694F4C" w:rsidP="00381FBD">
      <w:pPr>
        <w:pStyle w:val="Overskrift2"/>
        <w:numPr>
          <w:ilvl w:val="0"/>
          <w:numId w:val="9"/>
        </w:numPr>
        <w:rPr>
          <w:rFonts w:ascii="Symbol" w:hAnsi="Symbol"/>
          <w:color w:val="auto"/>
          <w:sz w:val="22"/>
          <w:szCs w:val="22"/>
        </w:rPr>
      </w:pPr>
      <w:bookmarkStart w:id="8" w:name="_Toc411545142"/>
      <w:r w:rsidRPr="00AA54DA">
        <w:rPr>
          <w:color w:val="auto"/>
        </w:rPr>
        <w:t>Ekstern varsling til offentlige myndigheter</w:t>
      </w:r>
      <w:bookmarkEnd w:id="8"/>
      <w:r w:rsidRPr="00AA54DA">
        <w:rPr>
          <w:color w:val="auto"/>
        </w:rPr>
        <w:t xml:space="preserve"> </w:t>
      </w:r>
    </w:p>
    <w:p w14:paraId="71F336BA" w14:textId="77777777" w:rsidR="00694F4C" w:rsidRPr="00AA54DA" w:rsidRDefault="00694F4C" w:rsidP="00046419">
      <w:pPr>
        <w:pStyle w:val="NormalWeb"/>
        <w:rPr>
          <w:rFonts w:ascii="Calibri" w:hAnsi="Calibri"/>
          <w:sz w:val="24"/>
          <w:szCs w:val="24"/>
          <w:lang w:val="nb-NO"/>
        </w:rPr>
      </w:pPr>
      <w:r w:rsidRPr="00AA54DA">
        <w:rPr>
          <w:rFonts w:ascii="Calibri" w:hAnsi="Calibri"/>
          <w:sz w:val="24"/>
          <w:szCs w:val="24"/>
          <w:lang w:val="nb-NO"/>
        </w:rPr>
        <w:t>Det gjelder en utvidet varslingsrett til «</w:t>
      </w:r>
      <w:r w:rsidRPr="00AA54DA">
        <w:rPr>
          <w:rFonts w:ascii="Calibri" w:hAnsi="Calibri"/>
          <w:i/>
          <w:iCs/>
          <w:sz w:val="24"/>
          <w:szCs w:val="24"/>
          <w:lang w:val="nb-NO"/>
        </w:rPr>
        <w:t>tilsynsmyndigheter eller andre offentlige myndigheter»</w:t>
      </w:r>
      <w:r w:rsidRPr="00AA54DA">
        <w:rPr>
          <w:rFonts w:ascii="Calibri" w:hAnsi="Calibri"/>
          <w:sz w:val="24"/>
          <w:szCs w:val="24"/>
          <w:lang w:val="nb-NO"/>
        </w:rPr>
        <w:t>. Eksempler på varsling til offentlige myndigheter er varsling til Arbeidstilsynet ved overskridelser av lovens krav til arbeidstid eller brudd på sikkerhetsrutiner, til Datatilsynet fo</w:t>
      </w:r>
      <w:r w:rsidR="00046419" w:rsidRPr="00AA54DA">
        <w:rPr>
          <w:rFonts w:ascii="Calibri" w:hAnsi="Calibri"/>
          <w:sz w:val="24"/>
          <w:szCs w:val="24"/>
          <w:lang w:val="nb-NO"/>
        </w:rPr>
        <w:t>r brudd på personvern og/eller i</w:t>
      </w:r>
      <w:r w:rsidRPr="00AA54DA">
        <w:rPr>
          <w:rFonts w:ascii="Calibri" w:hAnsi="Calibri"/>
          <w:sz w:val="24"/>
          <w:szCs w:val="24"/>
          <w:lang w:val="nb-NO"/>
        </w:rPr>
        <w:t xml:space="preserve">nformasjonssikkerhet, til Finanstilsynet ved brudd på verdipapirtransaksjoner, til El-tilsynet ved brannfare for skader på elektriske anlegg ol. Slik varsling vil etter loven alltid være forsvarlig. Med «andre offentlige myndigheter» menes både statlige, kommunale og fylkeskommunale forvaltningsmyndigheter. </w:t>
      </w:r>
    </w:p>
    <w:p w14:paraId="1A877169" w14:textId="77777777" w:rsidR="00694F4C" w:rsidRPr="00AA54DA" w:rsidRDefault="00694F4C" w:rsidP="00046419">
      <w:pPr>
        <w:pStyle w:val="NormalWeb"/>
        <w:rPr>
          <w:rFonts w:ascii="Symbol" w:hAnsi="Symbol"/>
          <w:sz w:val="22"/>
          <w:szCs w:val="22"/>
          <w:lang w:val="nb-NO"/>
        </w:rPr>
      </w:pPr>
      <w:r w:rsidRPr="00AA54DA">
        <w:rPr>
          <w:rFonts w:ascii="Calibri" w:hAnsi="Calibri"/>
          <w:sz w:val="24"/>
          <w:szCs w:val="24"/>
          <w:lang w:val="nb-NO"/>
        </w:rPr>
        <w:t xml:space="preserve">Der hvor det kan være aktuelt å varsle om «kritikkverdige forhold», kan det være hensiktsmessig å undersøke om det aktuelle forholdet omfattes av et tilsynsorgans tilsynsområde. Det kan da være mulig å drøfte forholdet med vedkommende myndighet i forkant, uten at det bringes inn som en formell sak. </w:t>
      </w:r>
    </w:p>
    <w:p w14:paraId="59169C17" w14:textId="77777777" w:rsidR="00694F4C" w:rsidRPr="00AA54DA" w:rsidRDefault="00694F4C" w:rsidP="00046419">
      <w:pPr>
        <w:pStyle w:val="NormalWeb"/>
        <w:rPr>
          <w:rFonts w:ascii="Calibri" w:hAnsi="Calibri"/>
          <w:sz w:val="24"/>
          <w:szCs w:val="24"/>
          <w:lang w:val="nb-NO"/>
        </w:rPr>
      </w:pPr>
      <w:r w:rsidRPr="00AA54DA">
        <w:rPr>
          <w:rFonts w:ascii="Calibri" w:hAnsi="Calibri"/>
          <w:sz w:val="24"/>
          <w:szCs w:val="24"/>
          <w:lang w:val="nb-NO"/>
        </w:rPr>
        <w:t xml:space="preserve">Ved varsling til tilsynsmyndigheter eller andre offentlige myndigheter har organene som mottar varsling taushetsplikt hva gjelder varslerens identitet. </w:t>
      </w:r>
    </w:p>
    <w:p w14:paraId="15C80DFD" w14:textId="77777777" w:rsidR="00381FBD" w:rsidRPr="00AA54DA" w:rsidRDefault="00381FBD" w:rsidP="00381FBD">
      <w:pPr>
        <w:pStyle w:val="NormalWeb"/>
        <w:rPr>
          <w:lang w:val="nb-NO"/>
        </w:rPr>
      </w:pPr>
    </w:p>
    <w:p w14:paraId="36CD5BC8" w14:textId="77777777" w:rsidR="00694F4C" w:rsidRPr="00AA54DA" w:rsidRDefault="00694F4C" w:rsidP="00381FBD">
      <w:pPr>
        <w:pStyle w:val="Overskrift2"/>
        <w:numPr>
          <w:ilvl w:val="0"/>
          <w:numId w:val="9"/>
        </w:numPr>
        <w:rPr>
          <w:color w:val="auto"/>
        </w:rPr>
      </w:pPr>
      <w:bookmarkStart w:id="9" w:name="_Toc411545143"/>
      <w:r w:rsidRPr="00AA54DA">
        <w:rPr>
          <w:color w:val="auto"/>
        </w:rPr>
        <w:t>Mer informasjon</w:t>
      </w:r>
      <w:bookmarkEnd w:id="9"/>
      <w:r w:rsidRPr="00AA54DA">
        <w:rPr>
          <w:color w:val="auto"/>
        </w:rPr>
        <w:t xml:space="preserve"> </w:t>
      </w:r>
    </w:p>
    <w:p w14:paraId="7F46DC52" w14:textId="75E86B27" w:rsidR="0074243B" w:rsidRPr="00AA54DA" w:rsidRDefault="00694F4C" w:rsidP="00694F4C">
      <w:pPr>
        <w:pStyle w:val="NormalWeb"/>
        <w:rPr>
          <w:rFonts w:ascii="Calibri" w:hAnsi="Calibri"/>
          <w:sz w:val="24"/>
          <w:szCs w:val="24"/>
          <w:lang w:val="nb-NO"/>
        </w:rPr>
      </w:pPr>
      <w:r w:rsidRPr="00AA54DA">
        <w:rPr>
          <w:rFonts w:ascii="Calibri" w:hAnsi="Calibri"/>
          <w:sz w:val="24"/>
          <w:szCs w:val="24"/>
          <w:lang w:val="nb-NO"/>
        </w:rPr>
        <w:t xml:space="preserve">Ta kontakt med </w:t>
      </w:r>
      <w:r w:rsidR="00131817">
        <w:rPr>
          <w:rFonts w:ascii="Calibri" w:hAnsi="Calibri"/>
          <w:sz w:val="24"/>
          <w:szCs w:val="24"/>
          <w:lang w:val="nb-NO"/>
        </w:rPr>
        <w:t xml:space="preserve">HIL </w:t>
      </w:r>
      <w:r w:rsidR="0074243B" w:rsidRPr="00AA54DA">
        <w:rPr>
          <w:rFonts w:ascii="Calibri" w:hAnsi="Calibri"/>
          <w:sz w:val="24"/>
          <w:szCs w:val="24"/>
          <w:lang w:val="nb-NO"/>
        </w:rPr>
        <w:t>Orientering</w:t>
      </w:r>
      <w:r w:rsidR="00131817">
        <w:rPr>
          <w:rFonts w:ascii="Calibri" w:hAnsi="Calibri"/>
          <w:sz w:val="24"/>
          <w:szCs w:val="24"/>
          <w:lang w:val="nb-NO"/>
        </w:rPr>
        <w:t xml:space="preserve"> ved styreleder</w:t>
      </w:r>
      <w:r w:rsidRPr="00AA54DA">
        <w:rPr>
          <w:rFonts w:ascii="Calibri" w:hAnsi="Calibri"/>
          <w:sz w:val="24"/>
          <w:szCs w:val="24"/>
          <w:lang w:val="nb-NO"/>
        </w:rPr>
        <w:t xml:space="preserve"> dersom du ønsker mer informasjon. </w:t>
      </w:r>
      <w:r w:rsidR="0074243B" w:rsidRPr="00AA54DA">
        <w:rPr>
          <w:rFonts w:ascii="Calibri" w:hAnsi="Calibri"/>
          <w:sz w:val="24"/>
          <w:szCs w:val="24"/>
          <w:lang w:val="nb-NO"/>
        </w:rPr>
        <w:t>St</w:t>
      </w:r>
      <w:r w:rsidR="007B26F2" w:rsidRPr="00AA54DA">
        <w:rPr>
          <w:rFonts w:ascii="Calibri" w:hAnsi="Calibri"/>
          <w:sz w:val="24"/>
          <w:szCs w:val="24"/>
          <w:lang w:val="nb-NO"/>
        </w:rPr>
        <w:t>yr</w:t>
      </w:r>
      <w:r w:rsidR="0074243B" w:rsidRPr="00AA54DA">
        <w:rPr>
          <w:rFonts w:ascii="Calibri" w:hAnsi="Calibri"/>
          <w:sz w:val="24"/>
          <w:szCs w:val="24"/>
          <w:lang w:val="nb-NO"/>
        </w:rPr>
        <w:t xml:space="preserve">ets leder kan nås på </w:t>
      </w:r>
    </w:p>
    <w:p w14:paraId="5C7F3FBB" w14:textId="77777777" w:rsidR="0074243B" w:rsidRPr="00AA54DA" w:rsidRDefault="00694F4C" w:rsidP="00694F4C">
      <w:pPr>
        <w:pStyle w:val="NormalWeb"/>
        <w:rPr>
          <w:rFonts w:ascii="Calibri" w:hAnsi="Calibri"/>
          <w:sz w:val="24"/>
          <w:szCs w:val="24"/>
          <w:lang w:val="nb-NO"/>
        </w:rPr>
      </w:pPr>
      <w:r w:rsidRPr="00AA54DA">
        <w:rPr>
          <w:rFonts w:ascii="Calibri" w:hAnsi="Calibri"/>
          <w:sz w:val="24"/>
          <w:szCs w:val="24"/>
          <w:lang w:val="nb-NO"/>
        </w:rPr>
        <w:t xml:space="preserve">epost: </w:t>
      </w:r>
    </w:p>
    <w:p w14:paraId="18BCD236" w14:textId="77777777" w:rsidR="0074243B" w:rsidRPr="00AA54DA" w:rsidRDefault="00694F4C" w:rsidP="00694F4C">
      <w:pPr>
        <w:pStyle w:val="NormalWeb"/>
        <w:rPr>
          <w:rFonts w:ascii="Calibri" w:hAnsi="Calibri"/>
          <w:sz w:val="24"/>
          <w:szCs w:val="24"/>
          <w:lang w:val="nb-NO"/>
        </w:rPr>
      </w:pPr>
      <w:r w:rsidRPr="00AA54DA">
        <w:rPr>
          <w:rFonts w:ascii="Calibri" w:hAnsi="Calibri"/>
          <w:sz w:val="24"/>
          <w:szCs w:val="24"/>
          <w:lang w:val="nb-NO"/>
        </w:rPr>
        <w:t xml:space="preserve">Telefon: </w:t>
      </w:r>
    </w:p>
    <w:p w14:paraId="42A2433D" w14:textId="77777777" w:rsidR="0074243B" w:rsidRPr="00AA54DA" w:rsidRDefault="0074243B" w:rsidP="00694F4C">
      <w:pPr>
        <w:pStyle w:val="NormalWeb"/>
        <w:rPr>
          <w:rFonts w:ascii="Calibri" w:hAnsi="Calibri"/>
          <w:sz w:val="24"/>
          <w:szCs w:val="24"/>
          <w:lang w:val="nb-NO"/>
        </w:rPr>
      </w:pPr>
    </w:p>
    <w:p w14:paraId="65FA4A5B" w14:textId="77777777" w:rsidR="0074243B" w:rsidRPr="00AA54DA" w:rsidRDefault="00694F4C" w:rsidP="00694F4C">
      <w:pPr>
        <w:pStyle w:val="NormalWeb"/>
        <w:rPr>
          <w:rFonts w:ascii="Calibri" w:hAnsi="Calibri"/>
          <w:sz w:val="24"/>
          <w:szCs w:val="24"/>
          <w:lang w:val="nb-NO"/>
        </w:rPr>
      </w:pPr>
      <w:r w:rsidRPr="00AA54DA">
        <w:rPr>
          <w:rFonts w:ascii="Calibri" w:hAnsi="Calibri"/>
          <w:sz w:val="24"/>
          <w:szCs w:val="24"/>
          <w:lang w:val="nb-NO"/>
        </w:rPr>
        <w:t xml:space="preserve">Vedtatt: </w:t>
      </w:r>
      <w:r w:rsidR="0074243B" w:rsidRPr="00AA54DA">
        <w:rPr>
          <w:rFonts w:ascii="Calibri" w:hAnsi="Calibri"/>
          <w:sz w:val="24"/>
          <w:szCs w:val="24"/>
          <w:lang w:val="nb-NO"/>
        </w:rPr>
        <w:t>Haugesund dato</w:t>
      </w:r>
    </w:p>
    <w:p w14:paraId="61B59A1C" w14:textId="77777777" w:rsidR="004651F7" w:rsidRDefault="00694F4C" w:rsidP="004651F7">
      <w:pPr>
        <w:rPr>
          <w:rFonts w:eastAsia="Times New Roman"/>
        </w:rPr>
      </w:pPr>
      <w:r w:rsidRPr="00AA54DA">
        <w:rPr>
          <w:rFonts w:ascii="Calibri" w:hAnsi="Calibri"/>
        </w:rPr>
        <w:t xml:space="preserve">Vedlegg: Arbeidsmiljølovens bestemmelser om varsling </w:t>
      </w:r>
      <w:hyperlink r:id="rId10" w:anchor="%C2%A72a-3" w:history="1">
        <w:r w:rsidR="004651F7">
          <w:rPr>
            <w:rStyle w:val="Hyperkobling"/>
            <w:rFonts w:ascii="Helvetica" w:eastAsia="Times New Roman" w:hAnsi="Helvetica"/>
            <w:sz w:val="18"/>
            <w:szCs w:val="18"/>
          </w:rPr>
          <w:t>https://lovdata.no/dokument/NL/lov/2005-06-17-62/KAPITTEL_3#§2a-3</w:t>
        </w:r>
      </w:hyperlink>
    </w:p>
    <w:p w14:paraId="5646AAE9" w14:textId="77777777" w:rsidR="004651F7" w:rsidRDefault="005D3ECD" w:rsidP="004651F7">
      <w:pPr>
        <w:rPr>
          <w:rFonts w:eastAsia="Times New Roman"/>
        </w:rPr>
      </w:pPr>
      <w:hyperlink r:id="rId11" w:history="1">
        <w:r w:rsidR="004651F7">
          <w:rPr>
            <w:rStyle w:val="Hyperkobling"/>
            <w:rFonts w:ascii="Helvetica" w:eastAsia="Times New Roman" w:hAnsi="Helvetica"/>
            <w:sz w:val="18"/>
            <w:szCs w:val="18"/>
          </w:rPr>
          <w:t>http://arbeidsmiljoloven.com/article/§-2-a-1-rett-til-varsle-om-kritikkverdige-forhold-virksomheten/</w:t>
        </w:r>
      </w:hyperlink>
      <w:r w:rsidR="004651F7">
        <w:rPr>
          <w:rFonts w:ascii="Helvetica" w:eastAsia="Times New Roman" w:hAnsi="Helvetica"/>
          <w:color w:val="000000"/>
          <w:sz w:val="18"/>
          <w:szCs w:val="18"/>
        </w:rPr>
        <w:t> </w:t>
      </w:r>
    </w:p>
    <w:p w14:paraId="0EE60F9F" w14:textId="77777777" w:rsidR="004651F7" w:rsidRDefault="004651F7" w:rsidP="004651F7">
      <w:pPr>
        <w:rPr>
          <w:rFonts w:eastAsia="Times New Roman"/>
        </w:rPr>
      </w:pPr>
    </w:p>
    <w:p w14:paraId="64B22494" w14:textId="1C69B45C" w:rsidR="00D2196B" w:rsidRPr="00AA54DA" w:rsidRDefault="00D2196B" w:rsidP="00694F4C">
      <w:pPr>
        <w:pStyle w:val="NormalWeb"/>
        <w:rPr>
          <w:rFonts w:ascii="Calibri" w:hAnsi="Calibri"/>
          <w:sz w:val="24"/>
          <w:szCs w:val="24"/>
          <w:lang w:val="nb-NO"/>
        </w:rPr>
      </w:pPr>
    </w:p>
    <w:p w14:paraId="78138D66" w14:textId="77777777" w:rsidR="00BC7917" w:rsidRPr="00694F4C" w:rsidRDefault="00BC7917"/>
    <w:sectPr w:rsidR="00BC7917" w:rsidRPr="00694F4C" w:rsidSect="00DC723A">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97A3" w14:textId="77777777" w:rsidR="005D3ECD" w:rsidRDefault="005D3ECD" w:rsidP="0074243B">
      <w:r>
        <w:separator/>
      </w:r>
    </w:p>
  </w:endnote>
  <w:endnote w:type="continuationSeparator" w:id="0">
    <w:p w14:paraId="14BC63BE" w14:textId="77777777" w:rsidR="005D3ECD" w:rsidRDefault="005D3ECD" w:rsidP="0074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M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10F4" w14:textId="77777777" w:rsidR="0087332C" w:rsidRDefault="0087332C" w:rsidP="0074243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5F54DBD" w14:textId="77777777" w:rsidR="0087332C" w:rsidRDefault="0087332C" w:rsidP="0074243B">
    <w:pPr>
      <w:pStyle w:val="Bunn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9459" w14:textId="16B1F672" w:rsidR="0087332C" w:rsidRDefault="0087332C" w:rsidP="0074243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8B62B7">
      <w:rPr>
        <w:rStyle w:val="Sidetall"/>
        <w:noProof/>
      </w:rPr>
      <w:t>3</w:t>
    </w:r>
    <w:r>
      <w:rPr>
        <w:rStyle w:val="Sidetall"/>
      </w:rPr>
      <w:fldChar w:fldCharType="end"/>
    </w:r>
  </w:p>
  <w:p w14:paraId="20A4FC44" w14:textId="77777777" w:rsidR="0087332C" w:rsidRDefault="0087332C" w:rsidP="0074243B">
    <w:pPr>
      <w:pStyle w:val="Bunn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2B60" w14:textId="77777777" w:rsidR="005D3ECD" w:rsidRDefault="005D3ECD" w:rsidP="0074243B">
      <w:r>
        <w:separator/>
      </w:r>
    </w:p>
  </w:footnote>
  <w:footnote w:type="continuationSeparator" w:id="0">
    <w:p w14:paraId="773473E5" w14:textId="77777777" w:rsidR="005D3ECD" w:rsidRDefault="005D3ECD" w:rsidP="007424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A2B"/>
    <w:multiLevelType w:val="multilevel"/>
    <w:tmpl w:val="147423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65177"/>
    <w:multiLevelType w:val="multilevel"/>
    <w:tmpl w:val="FA6A6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12795"/>
    <w:multiLevelType w:val="multilevel"/>
    <w:tmpl w:val="2BEA2E00"/>
    <w:lvl w:ilvl="0">
      <w:start w:val="1"/>
      <w:numFmt w:val="decimal"/>
      <w:lvlText w:val="%1."/>
      <w:lvlJc w:val="left"/>
      <w:pPr>
        <w:tabs>
          <w:tab w:val="num" w:pos="720"/>
        </w:tabs>
        <w:ind w:left="720" w:hanging="360"/>
      </w:pPr>
      <w:rPr>
        <w:rFonts w:ascii="Calibri" w:eastAsiaTheme="minorEastAsia"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A6327"/>
    <w:multiLevelType w:val="multilevel"/>
    <w:tmpl w:val="1172A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E54A24"/>
    <w:multiLevelType w:val="multilevel"/>
    <w:tmpl w:val="2BEA2E00"/>
    <w:lvl w:ilvl="0">
      <w:start w:val="1"/>
      <w:numFmt w:val="decimal"/>
      <w:lvlText w:val="%1."/>
      <w:lvlJc w:val="left"/>
      <w:pPr>
        <w:tabs>
          <w:tab w:val="num" w:pos="720"/>
        </w:tabs>
        <w:ind w:left="720" w:hanging="360"/>
      </w:pPr>
      <w:rPr>
        <w:rFonts w:ascii="Calibri" w:eastAsiaTheme="minorEastAsia"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4296F"/>
    <w:multiLevelType w:val="hybridMultilevel"/>
    <w:tmpl w:val="E3B654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D6822E1"/>
    <w:multiLevelType w:val="multilevel"/>
    <w:tmpl w:val="2BEA2E00"/>
    <w:lvl w:ilvl="0">
      <w:start w:val="1"/>
      <w:numFmt w:val="decimal"/>
      <w:lvlText w:val="%1."/>
      <w:lvlJc w:val="left"/>
      <w:pPr>
        <w:tabs>
          <w:tab w:val="num" w:pos="720"/>
        </w:tabs>
        <w:ind w:left="720" w:hanging="360"/>
      </w:pPr>
      <w:rPr>
        <w:rFonts w:ascii="Calibri" w:eastAsiaTheme="minorEastAsia"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6C3582"/>
    <w:multiLevelType w:val="multilevel"/>
    <w:tmpl w:val="0DDE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B34756"/>
    <w:multiLevelType w:val="hybridMultilevel"/>
    <w:tmpl w:val="4EC413E6"/>
    <w:lvl w:ilvl="0" w:tplc="13782BB2">
      <w:start w:val="1"/>
      <w:numFmt w:val="decimal"/>
      <w:lvlText w:val="%1."/>
      <w:lvlJc w:val="left"/>
      <w:pPr>
        <w:ind w:left="360" w:hanging="360"/>
      </w:pPr>
      <w:rPr>
        <w:rFonts w:hint="default"/>
        <w:b/>
        <w:sz w:val="22"/>
        <w:szCs w:val="22"/>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7D021251"/>
    <w:multiLevelType w:val="multilevel"/>
    <w:tmpl w:val="DC2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9"/>
  </w:num>
  <w:num w:numId="5">
    <w:abstractNumId w:val="2"/>
  </w:num>
  <w:num w:numId="6">
    <w:abstractNumId w:val="8"/>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4C"/>
    <w:rsid w:val="00046419"/>
    <w:rsid w:val="00071F9F"/>
    <w:rsid w:val="000775D3"/>
    <w:rsid w:val="00126C96"/>
    <w:rsid w:val="00126D75"/>
    <w:rsid w:val="00131817"/>
    <w:rsid w:val="00381FBD"/>
    <w:rsid w:val="00406685"/>
    <w:rsid w:val="00462B14"/>
    <w:rsid w:val="004651F7"/>
    <w:rsid w:val="005A7207"/>
    <w:rsid w:val="005B69F3"/>
    <w:rsid w:val="005D3ECD"/>
    <w:rsid w:val="00694F4C"/>
    <w:rsid w:val="006E1810"/>
    <w:rsid w:val="00733A12"/>
    <w:rsid w:val="0074243B"/>
    <w:rsid w:val="00763186"/>
    <w:rsid w:val="007B26F2"/>
    <w:rsid w:val="007B4397"/>
    <w:rsid w:val="0087332C"/>
    <w:rsid w:val="00895DCE"/>
    <w:rsid w:val="008B62B7"/>
    <w:rsid w:val="008C1128"/>
    <w:rsid w:val="009747D4"/>
    <w:rsid w:val="00A718B5"/>
    <w:rsid w:val="00AA54DA"/>
    <w:rsid w:val="00B06268"/>
    <w:rsid w:val="00BC7917"/>
    <w:rsid w:val="00C33FFA"/>
    <w:rsid w:val="00D2196B"/>
    <w:rsid w:val="00D2240B"/>
    <w:rsid w:val="00D603E0"/>
    <w:rsid w:val="00D845B9"/>
    <w:rsid w:val="00DC723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0A92A"/>
  <w14:defaultImageDpi w14:val="300"/>
  <w15:docId w15:val="{BC4606FF-1336-4A75-9515-ED22911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7424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94F4C"/>
    <w:pPr>
      <w:spacing w:before="100" w:beforeAutospacing="1" w:after="100" w:afterAutospacing="1"/>
    </w:pPr>
    <w:rPr>
      <w:rFonts w:ascii="Times New Roman" w:hAnsi="Times New Roman" w:cs="Times New Roman"/>
      <w:sz w:val="20"/>
      <w:szCs w:val="20"/>
      <w:lang w:val="en-US"/>
    </w:rPr>
  </w:style>
  <w:style w:type="paragraph" w:styleId="Listeavsnitt">
    <w:name w:val="List Paragraph"/>
    <w:basedOn w:val="Normal"/>
    <w:uiPriority w:val="34"/>
    <w:qFormat/>
    <w:rsid w:val="00694F4C"/>
    <w:pPr>
      <w:ind w:left="720"/>
      <w:contextualSpacing/>
    </w:pPr>
  </w:style>
  <w:style w:type="character" w:styleId="Hyperkobling">
    <w:name w:val="Hyperlink"/>
    <w:basedOn w:val="Standardskriftforavsnitt"/>
    <w:uiPriority w:val="99"/>
    <w:unhideWhenUsed/>
    <w:rsid w:val="006E1810"/>
    <w:rPr>
      <w:color w:val="0000FF" w:themeColor="hyperlink"/>
      <w:u w:val="single"/>
    </w:rPr>
  </w:style>
  <w:style w:type="character" w:customStyle="1" w:styleId="apple-converted-space">
    <w:name w:val="apple-converted-space"/>
    <w:basedOn w:val="Standardskriftforavsnitt"/>
    <w:rsid w:val="009747D4"/>
  </w:style>
  <w:style w:type="character" w:customStyle="1" w:styleId="Overskrift2Tegn">
    <w:name w:val="Overskrift 2 Tegn"/>
    <w:basedOn w:val="Standardskriftforavsnitt"/>
    <w:link w:val="Overskrift2"/>
    <w:uiPriority w:val="9"/>
    <w:rsid w:val="0074243B"/>
    <w:rPr>
      <w:rFonts w:asciiTheme="majorHAnsi" w:eastAsiaTheme="majorEastAsia" w:hAnsiTheme="majorHAnsi" w:cstheme="majorBidi"/>
      <w:b/>
      <w:bCs/>
      <w:color w:val="4F81BD" w:themeColor="accent1"/>
      <w:sz w:val="26"/>
      <w:szCs w:val="26"/>
    </w:rPr>
  </w:style>
  <w:style w:type="paragraph" w:styleId="Bunntekst">
    <w:name w:val="footer"/>
    <w:basedOn w:val="Normal"/>
    <w:link w:val="BunntekstTegn"/>
    <w:uiPriority w:val="99"/>
    <w:unhideWhenUsed/>
    <w:rsid w:val="0074243B"/>
    <w:pPr>
      <w:tabs>
        <w:tab w:val="center" w:pos="4320"/>
        <w:tab w:val="right" w:pos="8640"/>
      </w:tabs>
    </w:pPr>
  </w:style>
  <w:style w:type="character" w:customStyle="1" w:styleId="BunntekstTegn">
    <w:name w:val="Bunntekst Tegn"/>
    <w:basedOn w:val="Standardskriftforavsnitt"/>
    <w:link w:val="Bunntekst"/>
    <w:uiPriority w:val="99"/>
    <w:rsid w:val="0074243B"/>
  </w:style>
  <w:style w:type="character" w:styleId="Sidetall">
    <w:name w:val="page number"/>
    <w:basedOn w:val="Standardskriftforavsnitt"/>
    <w:uiPriority w:val="99"/>
    <w:semiHidden/>
    <w:unhideWhenUsed/>
    <w:rsid w:val="0074243B"/>
  </w:style>
  <w:style w:type="paragraph" w:styleId="Indeks1">
    <w:name w:val="index 1"/>
    <w:basedOn w:val="Normal"/>
    <w:next w:val="Normal"/>
    <w:autoRedefine/>
    <w:uiPriority w:val="99"/>
    <w:unhideWhenUsed/>
    <w:rsid w:val="0074243B"/>
    <w:pPr>
      <w:ind w:left="240" w:hanging="240"/>
    </w:pPr>
  </w:style>
  <w:style w:type="paragraph" w:styleId="Indeks2">
    <w:name w:val="index 2"/>
    <w:basedOn w:val="Normal"/>
    <w:next w:val="Normal"/>
    <w:autoRedefine/>
    <w:uiPriority w:val="99"/>
    <w:unhideWhenUsed/>
    <w:rsid w:val="0074243B"/>
    <w:pPr>
      <w:ind w:left="480" w:hanging="240"/>
    </w:pPr>
  </w:style>
  <w:style w:type="paragraph" w:styleId="Indeks3">
    <w:name w:val="index 3"/>
    <w:basedOn w:val="Normal"/>
    <w:next w:val="Normal"/>
    <w:autoRedefine/>
    <w:uiPriority w:val="99"/>
    <w:unhideWhenUsed/>
    <w:rsid w:val="0074243B"/>
    <w:pPr>
      <w:ind w:left="720" w:hanging="240"/>
    </w:pPr>
  </w:style>
  <w:style w:type="paragraph" w:styleId="Indeks4">
    <w:name w:val="index 4"/>
    <w:basedOn w:val="Normal"/>
    <w:next w:val="Normal"/>
    <w:autoRedefine/>
    <w:uiPriority w:val="99"/>
    <w:unhideWhenUsed/>
    <w:rsid w:val="0074243B"/>
    <w:pPr>
      <w:ind w:left="960" w:hanging="240"/>
    </w:pPr>
  </w:style>
  <w:style w:type="paragraph" w:styleId="Indeks5">
    <w:name w:val="index 5"/>
    <w:basedOn w:val="Normal"/>
    <w:next w:val="Normal"/>
    <w:autoRedefine/>
    <w:uiPriority w:val="99"/>
    <w:unhideWhenUsed/>
    <w:rsid w:val="0074243B"/>
    <w:pPr>
      <w:ind w:left="1200" w:hanging="240"/>
    </w:pPr>
  </w:style>
  <w:style w:type="paragraph" w:styleId="Indeks6">
    <w:name w:val="index 6"/>
    <w:basedOn w:val="Normal"/>
    <w:next w:val="Normal"/>
    <w:autoRedefine/>
    <w:uiPriority w:val="99"/>
    <w:unhideWhenUsed/>
    <w:rsid w:val="0074243B"/>
    <w:pPr>
      <w:ind w:left="1440" w:hanging="240"/>
    </w:pPr>
  </w:style>
  <w:style w:type="paragraph" w:styleId="Indeks7">
    <w:name w:val="index 7"/>
    <w:basedOn w:val="Normal"/>
    <w:next w:val="Normal"/>
    <w:autoRedefine/>
    <w:uiPriority w:val="99"/>
    <w:unhideWhenUsed/>
    <w:rsid w:val="0074243B"/>
    <w:pPr>
      <w:ind w:left="1680" w:hanging="240"/>
    </w:pPr>
  </w:style>
  <w:style w:type="paragraph" w:styleId="Indeks8">
    <w:name w:val="index 8"/>
    <w:basedOn w:val="Normal"/>
    <w:next w:val="Normal"/>
    <w:autoRedefine/>
    <w:uiPriority w:val="99"/>
    <w:unhideWhenUsed/>
    <w:rsid w:val="0074243B"/>
    <w:pPr>
      <w:ind w:left="1920" w:hanging="240"/>
    </w:pPr>
  </w:style>
  <w:style w:type="paragraph" w:styleId="Indeks9">
    <w:name w:val="index 9"/>
    <w:basedOn w:val="Normal"/>
    <w:next w:val="Normal"/>
    <w:autoRedefine/>
    <w:uiPriority w:val="99"/>
    <w:unhideWhenUsed/>
    <w:rsid w:val="0074243B"/>
    <w:pPr>
      <w:ind w:left="2160" w:hanging="240"/>
    </w:pPr>
  </w:style>
  <w:style w:type="paragraph" w:styleId="Stikkordregisteroverskrift">
    <w:name w:val="index heading"/>
    <w:basedOn w:val="Normal"/>
    <w:next w:val="Indeks1"/>
    <w:uiPriority w:val="99"/>
    <w:unhideWhenUsed/>
    <w:rsid w:val="0074243B"/>
  </w:style>
  <w:style w:type="paragraph" w:styleId="INNH1">
    <w:name w:val="toc 1"/>
    <w:basedOn w:val="Normal"/>
    <w:next w:val="Normal"/>
    <w:autoRedefine/>
    <w:uiPriority w:val="39"/>
    <w:unhideWhenUsed/>
    <w:rsid w:val="0074243B"/>
  </w:style>
  <w:style w:type="paragraph" w:styleId="INNH2">
    <w:name w:val="toc 2"/>
    <w:basedOn w:val="Normal"/>
    <w:next w:val="Normal"/>
    <w:autoRedefine/>
    <w:uiPriority w:val="39"/>
    <w:unhideWhenUsed/>
    <w:rsid w:val="00381FBD"/>
    <w:pPr>
      <w:tabs>
        <w:tab w:val="left" w:pos="662"/>
        <w:tab w:val="right" w:leader="dot" w:pos="8290"/>
      </w:tabs>
      <w:ind w:left="240"/>
    </w:pPr>
  </w:style>
  <w:style w:type="paragraph" w:styleId="INNH3">
    <w:name w:val="toc 3"/>
    <w:basedOn w:val="Normal"/>
    <w:next w:val="Normal"/>
    <w:autoRedefine/>
    <w:uiPriority w:val="39"/>
    <w:unhideWhenUsed/>
    <w:rsid w:val="0074243B"/>
    <w:pPr>
      <w:ind w:left="480"/>
    </w:pPr>
  </w:style>
  <w:style w:type="paragraph" w:styleId="INNH4">
    <w:name w:val="toc 4"/>
    <w:basedOn w:val="Normal"/>
    <w:next w:val="Normal"/>
    <w:autoRedefine/>
    <w:uiPriority w:val="39"/>
    <w:unhideWhenUsed/>
    <w:rsid w:val="0074243B"/>
    <w:pPr>
      <w:ind w:left="720"/>
    </w:pPr>
  </w:style>
  <w:style w:type="paragraph" w:styleId="INNH5">
    <w:name w:val="toc 5"/>
    <w:basedOn w:val="Normal"/>
    <w:next w:val="Normal"/>
    <w:autoRedefine/>
    <w:uiPriority w:val="39"/>
    <w:unhideWhenUsed/>
    <w:rsid w:val="0074243B"/>
    <w:pPr>
      <w:ind w:left="960"/>
    </w:pPr>
  </w:style>
  <w:style w:type="paragraph" w:styleId="INNH6">
    <w:name w:val="toc 6"/>
    <w:basedOn w:val="Normal"/>
    <w:next w:val="Normal"/>
    <w:autoRedefine/>
    <w:uiPriority w:val="39"/>
    <w:unhideWhenUsed/>
    <w:rsid w:val="0074243B"/>
    <w:pPr>
      <w:ind w:left="1200"/>
    </w:pPr>
  </w:style>
  <w:style w:type="paragraph" w:styleId="INNH7">
    <w:name w:val="toc 7"/>
    <w:basedOn w:val="Normal"/>
    <w:next w:val="Normal"/>
    <w:autoRedefine/>
    <w:uiPriority w:val="39"/>
    <w:unhideWhenUsed/>
    <w:rsid w:val="0074243B"/>
    <w:pPr>
      <w:ind w:left="1440"/>
    </w:pPr>
  </w:style>
  <w:style w:type="paragraph" w:styleId="INNH8">
    <w:name w:val="toc 8"/>
    <w:basedOn w:val="Normal"/>
    <w:next w:val="Normal"/>
    <w:autoRedefine/>
    <w:uiPriority w:val="39"/>
    <w:unhideWhenUsed/>
    <w:rsid w:val="0074243B"/>
    <w:pPr>
      <w:ind w:left="1680"/>
    </w:pPr>
  </w:style>
  <w:style w:type="paragraph" w:styleId="INNH9">
    <w:name w:val="toc 9"/>
    <w:basedOn w:val="Normal"/>
    <w:next w:val="Normal"/>
    <w:autoRedefine/>
    <w:uiPriority w:val="39"/>
    <w:unhideWhenUsed/>
    <w:rsid w:val="0074243B"/>
    <w:pPr>
      <w:ind w:left="1920"/>
    </w:pPr>
  </w:style>
  <w:style w:type="character" w:styleId="Merknadsreferanse">
    <w:name w:val="annotation reference"/>
    <w:basedOn w:val="Standardskriftforavsnitt"/>
    <w:uiPriority w:val="99"/>
    <w:semiHidden/>
    <w:unhideWhenUsed/>
    <w:rsid w:val="00B06268"/>
    <w:rPr>
      <w:sz w:val="16"/>
      <w:szCs w:val="16"/>
    </w:rPr>
  </w:style>
  <w:style w:type="paragraph" w:styleId="Merknadstekst">
    <w:name w:val="annotation text"/>
    <w:basedOn w:val="Normal"/>
    <w:link w:val="MerknadstekstTegn"/>
    <w:uiPriority w:val="99"/>
    <w:semiHidden/>
    <w:unhideWhenUsed/>
    <w:rsid w:val="00B06268"/>
    <w:rPr>
      <w:sz w:val="20"/>
      <w:szCs w:val="20"/>
    </w:rPr>
  </w:style>
  <w:style w:type="character" w:customStyle="1" w:styleId="MerknadstekstTegn">
    <w:name w:val="Merknadstekst Tegn"/>
    <w:basedOn w:val="Standardskriftforavsnitt"/>
    <w:link w:val="Merknadstekst"/>
    <w:uiPriority w:val="99"/>
    <w:semiHidden/>
    <w:rsid w:val="00B06268"/>
    <w:rPr>
      <w:sz w:val="20"/>
      <w:szCs w:val="20"/>
    </w:rPr>
  </w:style>
  <w:style w:type="paragraph" w:styleId="Kommentaremne">
    <w:name w:val="annotation subject"/>
    <w:basedOn w:val="Merknadstekst"/>
    <w:next w:val="Merknadstekst"/>
    <w:link w:val="KommentaremneTegn"/>
    <w:uiPriority w:val="99"/>
    <w:semiHidden/>
    <w:unhideWhenUsed/>
    <w:rsid w:val="00B06268"/>
    <w:rPr>
      <w:b/>
      <w:bCs/>
    </w:rPr>
  </w:style>
  <w:style w:type="character" w:customStyle="1" w:styleId="KommentaremneTegn">
    <w:name w:val="Kommentaremne Tegn"/>
    <w:basedOn w:val="MerknadstekstTegn"/>
    <w:link w:val="Kommentaremne"/>
    <w:uiPriority w:val="99"/>
    <w:semiHidden/>
    <w:rsid w:val="00B06268"/>
    <w:rPr>
      <w:b/>
      <w:bCs/>
      <w:sz w:val="20"/>
      <w:szCs w:val="20"/>
    </w:rPr>
  </w:style>
  <w:style w:type="paragraph" w:styleId="Bobletekst">
    <w:name w:val="Balloon Text"/>
    <w:basedOn w:val="Normal"/>
    <w:link w:val="BobletekstTegn"/>
    <w:uiPriority w:val="99"/>
    <w:semiHidden/>
    <w:unhideWhenUsed/>
    <w:rsid w:val="00B0626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06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09755">
      <w:bodyDiv w:val="1"/>
      <w:marLeft w:val="0"/>
      <w:marRight w:val="0"/>
      <w:marTop w:val="0"/>
      <w:marBottom w:val="0"/>
      <w:divBdr>
        <w:top w:val="none" w:sz="0" w:space="0" w:color="auto"/>
        <w:left w:val="none" w:sz="0" w:space="0" w:color="auto"/>
        <w:bottom w:val="none" w:sz="0" w:space="0" w:color="auto"/>
        <w:right w:val="none" w:sz="0" w:space="0" w:color="auto"/>
      </w:divBdr>
      <w:divsChild>
        <w:div w:id="1449667952">
          <w:marLeft w:val="0"/>
          <w:marRight w:val="0"/>
          <w:marTop w:val="0"/>
          <w:marBottom w:val="0"/>
          <w:divBdr>
            <w:top w:val="none" w:sz="0" w:space="0" w:color="auto"/>
            <w:left w:val="none" w:sz="0" w:space="0" w:color="auto"/>
            <w:bottom w:val="none" w:sz="0" w:space="0" w:color="auto"/>
            <w:right w:val="none" w:sz="0" w:space="0" w:color="auto"/>
          </w:divBdr>
          <w:divsChild>
            <w:div w:id="1713189584">
              <w:marLeft w:val="0"/>
              <w:marRight w:val="0"/>
              <w:marTop w:val="0"/>
              <w:marBottom w:val="0"/>
              <w:divBdr>
                <w:top w:val="none" w:sz="0" w:space="0" w:color="auto"/>
                <w:left w:val="none" w:sz="0" w:space="0" w:color="auto"/>
                <w:bottom w:val="none" w:sz="0" w:space="0" w:color="auto"/>
                <w:right w:val="none" w:sz="0" w:space="0" w:color="auto"/>
              </w:divBdr>
              <w:divsChild>
                <w:div w:id="1977487304">
                  <w:marLeft w:val="0"/>
                  <w:marRight w:val="0"/>
                  <w:marTop w:val="0"/>
                  <w:marBottom w:val="0"/>
                  <w:divBdr>
                    <w:top w:val="none" w:sz="0" w:space="0" w:color="auto"/>
                    <w:left w:val="none" w:sz="0" w:space="0" w:color="auto"/>
                    <w:bottom w:val="none" w:sz="0" w:space="0" w:color="auto"/>
                    <w:right w:val="none" w:sz="0" w:space="0" w:color="auto"/>
                  </w:divBdr>
                </w:div>
              </w:divsChild>
            </w:div>
            <w:div w:id="507014891">
              <w:marLeft w:val="0"/>
              <w:marRight w:val="0"/>
              <w:marTop w:val="0"/>
              <w:marBottom w:val="0"/>
              <w:divBdr>
                <w:top w:val="none" w:sz="0" w:space="0" w:color="auto"/>
                <w:left w:val="none" w:sz="0" w:space="0" w:color="auto"/>
                <w:bottom w:val="none" w:sz="0" w:space="0" w:color="auto"/>
                <w:right w:val="none" w:sz="0" w:space="0" w:color="auto"/>
              </w:divBdr>
              <w:divsChild>
                <w:div w:id="1633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6191">
          <w:marLeft w:val="0"/>
          <w:marRight w:val="0"/>
          <w:marTop w:val="0"/>
          <w:marBottom w:val="0"/>
          <w:divBdr>
            <w:top w:val="none" w:sz="0" w:space="0" w:color="auto"/>
            <w:left w:val="none" w:sz="0" w:space="0" w:color="auto"/>
            <w:bottom w:val="none" w:sz="0" w:space="0" w:color="auto"/>
            <w:right w:val="none" w:sz="0" w:space="0" w:color="auto"/>
          </w:divBdr>
          <w:divsChild>
            <w:div w:id="941840233">
              <w:marLeft w:val="0"/>
              <w:marRight w:val="0"/>
              <w:marTop w:val="0"/>
              <w:marBottom w:val="0"/>
              <w:divBdr>
                <w:top w:val="none" w:sz="0" w:space="0" w:color="auto"/>
                <w:left w:val="none" w:sz="0" w:space="0" w:color="auto"/>
                <w:bottom w:val="none" w:sz="0" w:space="0" w:color="auto"/>
                <w:right w:val="none" w:sz="0" w:space="0" w:color="auto"/>
              </w:divBdr>
              <w:divsChild>
                <w:div w:id="1999186508">
                  <w:marLeft w:val="0"/>
                  <w:marRight w:val="0"/>
                  <w:marTop w:val="0"/>
                  <w:marBottom w:val="0"/>
                  <w:divBdr>
                    <w:top w:val="none" w:sz="0" w:space="0" w:color="auto"/>
                    <w:left w:val="none" w:sz="0" w:space="0" w:color="auto"/>
                    <w:bottom w:val="none" w:sz="0" w:space="0" w:color="auto"/>
                    <w:right w:val="none" w:sz="0" w:space="0" w:color="auto"/>
                  </w:divBdr>
                </w:div>
              </w:divsChild>
            </w:div>
            <w:div w:id="581792832">
              <w:marLeft w:val="0"/>
              <w:marRight w:val="0"/>
              <w:marTop w:val="0"/>
              <w:marBottom w:val="0"/>
              <w:divBdr>
                <w:top w:val="none" w:sz="0" w:space="0" w:color="auto"/>
                <w:left w:val="none" w:sz="0" w:space="0" w:color="auto"/>
                <w:bottom w:val="none" w:sz="0" w:space="0" w:color="auto"/>
                <w:right w:val="none" w:sz="0" w:space="0" w:color="auto"/>
              </w:divBdr>
              <w:divsChild>
                <w:div w:id="19421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9834">
          <w:marLeft w:val="0"/>
          <w:marRight w:val="0"/>
          <w:marTop w:val="0"/>
          <w:marBottom w:val="0"/>
          <w:divBdr>
            <w:top w:val="none" w:sz="0" w:space="0" w:color="auto"/>
            <w:left w:val="none" w:sz="0" w:space="0" w:color="auto"/>
            <w:bottom w:val="none" w:sz="0" w:space="0" w:color="auto"/>
            <w:right w:val="none" w:sz="0" w:space="0" w:color="auto"/>
          </w:divBdr>
          <w:divsChild>
            <w:div w:id="770124298">
              <w:marLeft w:val="0"/>
              <w:marRight w:val="0"/>
              <w:marTop w:val="0"/>
              <w:marBottom w:val="0"/>
              <w:divBdr>
                <w:top w:val="none" w:sz="0" w:space="0" w:color="auto"/>
                <w:left w:val="none" w:sz="0" w:space="0" w:color="auto"/>
                <w:bottom w:val="none" w:sz="0" w:space="0" w:color="auto"/>
                <w:right w:val="none" w:sz="0" w:space="0" w:color="auto"/>
              </w:divBdr>
              <w:divsChild>
                <w:div w:id="1609504958">
                  <w:marLeft w:val="0"/>
                  <w:marRight w:val="0"/>
                  <w:marTop w:val="0"/>
                  <w:marBottom w:val="0"/>
                  <w:divBdr>
                    <w:top w:val="none" w:sz="0" w:space="0" w:color="auto"/>
                    <w:left w:val="none" w:sz="0" w:space="0" w:color="auto"/>
                    <w:bottom w:val="none" w:sz="0" w:space="0" w:color="auto"/>
                    <w:right w:val="none" w:sz="0" w:space="0" w:color="auto"/>
                  </w:divBdr>
                </w:div>
              </w:divsChild>
            </w:div>
            <w:div w:id="1482697143">
              <w:marLeft w:val="0"/>
              <w:marRight w:val="0"/>
              <w:marTop w:val="0"/>
              <w:marBottom w:val="0"/>
              <w:divBdr>
                <w:top w:val="none" w:sz="0" w:space="0" w:color="auto"/>
                <w:left w:val="none" w:sz="0" w:space="0" w:color="auto"/>
                <w:bottom w:val="none" w:sz="0" w:space="0" w:color="auto"/>
                <w:right w:val="none" w:sz="0" w:space="0" w:color="auto"/>
              </w:divBdr>
              <w:divsChild>
                <w:div w:id="16306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0664">
          <w:marLeft w:val="0"/>
          <w:marRight w:val="0"/>
          <w:marTop w:val="0"/>
          <w:marBottom w:val="0"/>
          <w:divBdr>
            <w:top w:val="none" w:sz="0" w:space="0" w:color="auto"/>
            <w:left w:val="none" w:sz="0" w:space="0" w:color="auto"/>
            <w:bottom w:val="none" w:sz="0" w:space="0" w:color="auto"/>
            <w:right w:val="none" w:sz="0" w:space="0" w:color="auto"/>
          </w:divBdr>
          <w:divsChild>
            <w:div w:id="1711146354">
              <w:marLeft w:val="0"/>
              <w:marRight w:val="0"/>
              <w:marTop w:val="0"/>
              <w:marBottom w:val="0"/>
              <w:divBdr>
                <w:top w:val="none" w:sz="0" w:space="0" w:color="auto"/>
                <w:left w:val="none" w:sz="0" w:space="0" w:color="auto"/>
                <w:bottom w:val="none" w:sz="0" w:space="0" w:color="auto"/>
                <w:right w:val="none" w:sz="0" w:space="0" w:color="auto"/>
              </w:divBdr>
              <w:divsChild>
                <w:div w:id="1415011864">
                  <w:marLeft w:val="0"/>
                  <w:marRight w:val="0"/>
                  <w:marTop w:val="0"/>
                  <w:marBottom w:val="0"/>
                  <w:divBdr>
                    <w:top w:val="none" w:sz="0" w:space="0" w:color="auto"/>
                    <w:left w:val="none" w:sz="0" w:space="0" w:color="auto"/>
                    <w:bottom w:val="none" w:sz="0" w:space="0" w:color="auto"/>
                    <w:right w:val="none" w:sz="0" w:space="0" w:color="auto"/>
                  </w:divBdr>
                </w:div>
              </w:divsChild>
            </w:div>
            <w:div w:id="906452274">
              <w:marLeft w:val="0"/>
              <w:marRight w:val="0"/>
              <w:marTop w:val="0"/>
              <w:marBottom w:val="0"/>
              <w:divBdr>
                <w:top w:val="none" w:sz="0" w:space="0" w:color="auto"/>
                <w:left w:val="none" w:sz="0" w:space="0" w:color="auto"/>
                <w:bottom w:val="none" w:sz="0" w:space="0" w:color="auto"/>
                <w:right w:val="none" w:sz="0" w:space="0" w:color="auto"/>
              </w:divBdr>
              <w:divsChild>
                <w:div w:id="20905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4227">
          <w:marLeft w:val="0"/>
          <w:marRight w:val="0"/>
          <w:marTop w:val="0"/>
          <w:marBottom w:val="0"/>
          <w:divBdr>
            <w:top w:val="none" w:sz="0" w:space="0" w:color="auto"/>
            <w:left w:val="none" w:sz="0" w:space="0" w:color="auto"/>
            <w:bottom w:val="none" w:sz="0" w:space="0" w:color="auto"/>
            <w:right w:val="none" w:sz="0" w:space="0" w:color="auto"/>
          </w:divBdr>
          <w:divsChild>
            <w:div w:id="910891843">
              <w:marLeft w:val="0"/>
              <w:marRight w:val="0"/>
              <w:marTop w:val="0"/>
              <w:marBottom w:val="0"/>
              <w:divBdr>
                <w:top w:val="none" w:sz="0" w:space="0" w:color="auto"/>
                <w:left w:val="none" w:sz="0" w:space="0" w:color="auto"/>
                <w:bottom w:val="none" w:sz="0" w:space="0" w:color="auto"/>
                <w:right w:val="none" w:sz="0" w:space="0" w:color="auto"/>
              </w:divBdr>
              <w:divsChild>
                <w:div w:id="231938431">
                  <w:marLeft w:val="0"/>
                  <w:marRight w:val="0"/>
                  <w:marTop w:val="0"/>
                  <w:marBottom w:val="0"/>
                  <w:divBdr>
                    <w:top w:val="none" w:sz="0" w:space="0" w:color="auto"/>
                    <w:left w:val="none" w:sz="0" w:space="0" w:color="auto"/>
                    <w:bottom w:val="none" w:sz="0" w:space="0" w:color="auto"/>
                    <w:right w:val="none" w:sz="0" w:space="0" w:color="auto"/>
                  </w:divBdr>
                </w:div>
              </w:divsChild>
            </w:div>
            <w:div w:id="480316982">
              <w:marLeft w:val="0"/>
              <w:marRight w:val="0"/>
              <w:marTop w:val="0"/>
              <w:marBottom w:val="0"/>
              <w:divBdr>
                <w:top w:val="none" w:sz="0" w:space="0" w:color="auto"/>
                <w:left w:val="none" w:sz="0" w:space="0" w:color="auto"/>
                <w:bottom w:val="none" w:sz="0" w:space="0" w:color="auto"/>
                <w:right w:val="none" w:sz="0" w:space="0" w:color="auto"/>
              </w:divBdr>
              <w:divsChild>
                <w:div w:id="1507019691">
                  <w:marLeft w:val="0"/>
                  <w:marRight w:val="0"/>
                  <w:marTop w:val="0"/>
                  <w:marBottom w:val="0"/>
                  <w:divBdr>
                    <w:top w:val="none" w:sz="0" w:space="0" w:color="auto"/>
                    <w:left w:val="none" w:sz="0" w:space="0" w:color="auto"/>
                    <w:bottom w:val="none" w:sz="0" w:space="0" w:color="auto"/>
                    <w:right w:val="none" w:sz="0" w:space="0" w:color="auto"/>
                  </w:divBdr>
                </w:div>
                <w:div w:id="1365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3888">
      <w:bodyDiv w:val="1"/>
      <w:marLeft w:val="0"/>
      <w:marRight w:val="0"/>
      <w:marTop w:val="0"/>
      <w:marBottom w:val="0"/>
      <w:divBdr>
        <w:top w:val="none" w:sz="0" w:space="0" w:color="auto"/>
        <w:left w:val="none" w:sz="0" w:space="0" w:color="auto"/>
        <w:bottom w:val="none" w:sz="0" w:space="0" w:color="auto"/>
        <w:right w:val="none" w:sz="0" w:space="0" w:color="auto"/>
      </w:divBdr>
    </w:div>
    <w:div w:id="1428305826">
      <w:bodyDiv w:val="1"/>
      <w:marLeft w:val="0"/>
      <w:marRight w:val="0"/>
      <w:marTop w:val="0"/>
      <w:marBottom w:val="0"/>
      <w:divBdr>
        <w:top w:val="none" w:sz="0" w:space="0" w:color="auto"/>
        <w:left w:val="none" w:sz="0" w:space="0" w:color="auto"/>
        <w:bottom w:val="none" w:sz="0" w:space="0" w:color="auto"/>
        <w:right w:val="none" w:sz="0" w:space="0" w:color="auto"/>
      </w:divBdr>
    </w:div>
    <w:div w:id="1453552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beidsmiljoloven.com/article/%C2%A7-2-a-1-rett-til-varsle-om-kritikkverdige-forhold-virksomhet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vdata.no/dokument/NL/lov/2005-06-17-62/KAPITTEL_3" TargetMode="External"/><Relationship Id="rId4" Type="http://schemas.openxmlformats.org/officeDocument/2006/relationships/settings" Target="settings.xml"/><Relationship Id="rId9" Type="http://schemas.openxmlformats.org/officeDocument/2006/relationships/hyperlink" Target="https://www.idrettsforbundet.no/tema/nifs-verdiarbe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85D1C28-85E8-4C8B-A9A5-40B28DAD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8034</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bromm bromm</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brumm ole bromm</dc:creator>
  <cp:keywords/>
  <dc:description/>
  <cp:lastModifiedBy>Vie, Grethe Paulsen</cp:lastModifiedBy>
  <cp:revision>2</cp:revision>
  <dcterms:created xsi:type="dcterms:W3CDTF">2019-02-12T21:41:00Z</dcterms:created>
  <dcterms:modified xsi:type="dcterms:W3CDTF">2019-02-12T21:41:00Z</dcterms:modified>
</cp:coreProperties>
</file>